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BA8E9E" w14:textId="71FCA2A6" w:rsidR="0091616C" w:rsidRPr="007561FD" w:rsidRDefault="007561FD" w:rsidP="007561FD">
      <w:pPr>
        <w:spacing w:after="0" w:line="240" w:lineRule="auto"/>
        <w:rPr>
          <w:sz w:val="24"/>
          <w:szCs w:val="24"/>
        </w:rPr>
      </w:pPr>
      <w:r w:rsidRPr="006845F8">
        <w:rPr>
          <w:noProof/>
          <w:sz w:val="24"/>
          <w:szCs w:val="24"/>
          <w:lang w:eastAsia="es-CL"/>
        </w:rPr>
        <w:drawing>
          <wp:inline distT="0" distB="0" distL="0" distR="0" wp14:anchorId="151443AE" wp14:editId="457521E2">
            <wp:extent cx="958939" cy="394858"/>
            <wp:effectExtent l="0" t="0" r="0" b="5715"/>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rotWithShape="1">
                    <a:blip r:embed="rId4">
                      <a:extLst>
                        <a:ext uri="{BEBA8EAE-BF5A-486C-A8C5-ECC9F3942E4B}">
                          <a14:imgProps xmlns:a14="http://schemas.microsoft.com/office/drawing/2010/main">
                            <a14:imgLayer r:embed="rId5">
                              <a14:imgEffect>
                                <a14:brightnessContrast bright="20000" contrast="-20000"/>
                              </a14:imgEffect>
                            </a14:imgLayer>
                          </a14:imgProps>
                        </a:ext>
                      </a:extLst>
                    </a:blip>
                    <a:srcRect t="16590" b="19343"/>
                    <a:stretch/>
                  </pic:blipFill>
                  <pic:spPr bwMode="auto">
                    <a:xfrm>
                      <a:off x="0" y="0"/>
                      <a:ext cx="984891" cy="40554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136D07">
        <w:t xml:space="preserve">              </w:t>
      </w:r>
      <w:r>
        <w:t xml:space="preserve"> </w:t>
      </w:r>
      <w:r w:rsidRPr="007561FD">
        <w:rPr>
          <w:sz w:val="24"/>
          <w:szCs w:val="24"/>
        </w:rPr>
        <w:t>Educación Ciudadana 3°Medio</w:t>
      </w:r>
    </w:p>
    <w:p w14:paraId="40869CEC" w14:textId="0F4D54AC" w:rsidR="007561FD" w:rsidRDefault="007561FD" w:rsidP="007561FD">
      <w:pPr>
        <w:spacing w:after="0" w:line="240" w:lineRule="auto"/>
        <w:rPr>
          <w:sz w:val="24"/>
          <w:szCs w:val="24"/>
        </w:rPr>
      </w:pPr>
      <w:r w:rsidRPr="007561FD">
        <w:rPr>
          <w:sz w:val="24"/>
          <w:szCs w:val="24"/>
        </w:rPr>
        <w:t xml:space="preserve">                                                                                                                              </w:t>
      </w:r>
      <w:r w:rsidR="00136D07">
        <w:rPr>
          <w:sz w:val="24"/>
          <w:szCs w:val="24"/>
        </w:rPr>
        <w:t xml:space="preserve">              </w:t>
      </w:r>
      <w:r w:rsidRPr="007561FD">
        <w:rPr>
          <w:sz w:val="24"/>
          <w:szCs w:val="24"/>
        </w:rPr>
        <w:t xml:space="preserve">  Prof. Etna Vivar N.</w:t>
      </w:r>
    </w:p>
    <w:p w14:paraId="24B60ADA" w14:textId="76CB01CB" w:rsidR="00136D07" w:rsidRDefault="00136D07" w:rsidP="007561FD">
      <w:pPr>
        <w:spacing w:after="0" w:line="240" w:lineRule="auto"/>
        <w:rPr>
          <w:sz w:val="24"/>
          <w:szCs w:val="24"/>
        </w:rPr>
      </w:pPr>
    </w:p>
    <w:p w14:paraId="6510B637" w14:textId="23324374" w:rsidR="00136D07" w:rsidRDefault="00136D07" w:rsidP="007561FD">
      <w:pPr>
        <w:spacing w:after="0" w:line="240" w:lineRule="auto"/>
        <w:rPr>
          <w:b/>
          <w:bCs/>
          <w:sz w:val="24"/>
          <w:szCs w:val="24"/>
        </w:rPr>
      </w:pPr>
      <w:r>
        <w:rPr>
          <w:sz w:val="24"/>
          <w:szCs w:val="24"/>
        </w:rPr>
        <w:t xml:space="preserve">                                                          </w:t>
      </w:r>
      <w:r w:rsidRPr="00136D07">
        <w:rPr>
          <w:b/>
          <w:bCs/>
          <w:sz w:val="24"/>
          <w:szCs w:val="24"/>
        </w:rPr>
        <w:t>Sistema Procesal Penal</w:t>
      </w:r>
    </w:p>
    <w:p w14:paraId="5A52790E" w14:textId="28FAE59B" w:rsidR="00136D07" w:rsidRDefault="00136D07" w:rsidP="007561FD">
      <w:pPr>
        <w:spacing w:after="0" w:line="240" w:lineRule="auto"/>
        <w:rPr>
          <w:b/>
          <w:bCs/>
          <w:sz w:val="24"/>
          <w:szCs w:val="24"/>
        </w:rPr>
      </w:pPr>
    </w:p>
    <w:p w14:paraId="3C4724C7" w14:textId="0B2B74EB" w:rsidR="00136D07" w:rsidRDefault="00136D07" w:rsidP="007561FD">
      <w:pPr>
        <w:spacing w:after="0" w:line="240" w:lineRule="auto"/>
        <w:rPr>
          <w:b/>
          <w:bCs/>
          <w:sz w:val="24"/>
          <w:szCs w:val="24"/>
        </w:rPr>
      </w:pPr>
      <w:proofErr w:type="spellStart"/>
      <w:r>
        <w:rPr>
          <w:b/>
          <w:bCs/>
          <w:sz w:val="24"/>
          <w:szCs w:val="24"/>
        </w:rPr>
        <w:t>Obj</w:t>
      </w:r>
      <w:proofErr w:type="spellEnd"/>
      <w:r>
        <w:rPr>
          <w:b/>
          <w:bCs/>
          <w:sz w:val="24"/>
          <w:szCs w:val="24"/>
        </w:rPr>
        <w:t>: Analizar los mecanismos de acceso a la justicia en Chile.</w:t>
      </w:r>
    </w:p>
    <w:p w14:paraId="1D3116A4" w14:textId="7F3E5F0D" w:rsidR="00136D07" w:rsidRDefault="00136D07" w:rsidP="007561FD">
      <w:pPr>
        <w:spacing w:after="0" w:line="240" w:lineRule="auto"/>
        <w:rPr>
          <w:b/>
          <w:bCs/>
          <w:sz w:val="24"/>
          <w:szCs w:val="24"/>
        </w:rPr>
      </w:pPr>
    </w:p>
    <w:p w14:paraId="08252BB6" w14:textId="7AC0EC52" w:rsidR="00136D07" w:rsidRDefault="00136D07" w:rsidP="00136D07">
      <w:pPr>
        <w:pStyle w:val="Default"/>
        <w:jc w:val="both"/>
        <w:rPr>
          <w:b/>
          <w:bCs/>
        </w:rPr>
      </w:pPr>
      <w:r w:rsidRPr="00136D07">
        <w:rPr>
          <w:b/>
          <w:bCs/>
        </w:rPr>
        <w:t xml:space="preserve">REFORMA PROCESAL </w:t>
      </w:r>
      <w:proofErr w:type="gramStart"/>
      <w:r w:rsidRPr="00136D07">
        <w:rPr>
          <w:b/>
          <w:bCs/>
        </w:rPr>
        <w:t>PENAL.-</w:t>
      </w:r>
      <w:proofErr w:type="gramEnd"/>
      <w:r w:rsidRPr="00136D07">
        <w:rPr>
          <w:b/>
          <w:bCs/>
        </w:rPr>
        <w:t xml:space="preserve"> </w:t>
      </w:r>
    </w:p>
    <w:p w14:paraId="5636F9A1" w14:textId="77777777" w:rsidR="00136D07" w:rsidRPr="00136D07" w:rsidRDefault="00136D07" w:rsidP="00136D07">
      <w:pPr>
        <w:pStyle w:val="Default"/>
        <w:jc w:val="both"/>
        <w:rPr>
          <w:b/>
          <w:bCs/>
        </w:rPr>
      </w:pPr>
    </w:p>
    <w:p w14:paraId="745DF09B" w14:textId="2A957723" w:rsidR="00136D07" w:rsidRDefault="00136D07" w:rsidP="00136D07">
      <w:pPr>
        <w:pStyle w:val="Default"/>
        <w:jc w:val="both"/>
      </w:pPr>
      <w:r w:rsidRPr="00136D07">
        <w:t xml:space="preserve">La Reforma Procesal Penal fue el mayor cambio que hubo en la estructura de la Justicia penal en Chile. Fue iniciada durante el gobierno de Eduardo Frei Ruiz-Tagle y el 12 de octubre del </w:t>
      </w:r>
      <w:r w:rsidRPr="00136D07">
        <w:rPr>
          <w:b/>
          <w:bCs/>
        </w:rPr>
        <w:t>año 2000</w:t>
      </w:r>
      <w:r w:rsidRPr="00136D07">
        <w:t xml:space="preserve"> fue publicada la </w:t>
      </w:r>
      <w:r w:rsidRPr="00136D07">
        <w:rPr>
          <w:b/>
          <w:bCs/>
        </w:rPr>
        <w:t xml:space="preserve">Ley </w:t>
      </w:r>
      <w:proofErr w:type="spellStart"/>
      <w:r w:rsidRPr="00136D07">
        <w:rPr>
          <w:b/>
          <w:bCs/>
        </w:rPr>
        <w:t>Nº</w:t>
      </w:r>
      <w:proofErr w:type="spellEnd"/>
      <w:r w:rsidRPr="00136D07">
        <w:rPr>
          <w:b/>
          <w:bCs/>
        </w:rPr>
        <w:t xml:space="preserve"> 19.696</w:t>
      </w:r>
      <w:r w:rsidRPr="00136D07">
        <w:t xml:space="preserve"> que contiene el nuevo Código Procesal</w:t>
      </w:r>
      <w:r>
        <w:t>.</w:t>
      </w:r>
    </w:p>
    <w:p w14:paraId="150A8AA9" w14:textId="4308459E" w:rsidR="00136D07" w:rsidRPr="00136D07" w:rsidRDefault="00136D07" w:rsidP="00136D07">
      <w:pPr>
        <w:pStyle w:val="Default"/>
        <w:jc w:val="both"/>
      </w:pPr>
      <w:r w:rsidRPr="00136D07">
        <w:t xml:space="preserve">La Reforma fue aplicada en primera instancia en las regiones de la Araucanía y Coquimbo, el 2005 se implementa en Santiago y en las demás regiones del país. </w:t>
      </w:r>
    </w:p>
    <w:p w14:paraId="507628F2" w14:textId="4D1A0865" w:rsidR="00136D07" w:rsidRPr="00136D07" w:rsidRDefault="00136D07" w:rsidP="00136D07">
      <w:pPr>
        <w:pStyle w:val="Default"/>
        <w:jc w:val="both"/>
      </w:pPr>
      <w:r w:rsidRPr="00136D07">
        <w:t xml:space="preserve">En el </w:t>
      </w:r>
      <w:r w:rsidRPr="00136D07">
        <w:rPr>
          <w:b/>
          <w:bCs/>
        </w:rPr>
        <w:t>sistema antiguo</w:t>
      </w:r>
      <w:r w:rsidRPr="00136D07">
        <w:t>, el Juez dirigía las investigaciones, acusaba a los detenidos y emitía sentencia</w:t>
      </w:r>
      <w:r>
        <w:t xml:space="preserve">. Con </w:t>
      </w:r>
      <w:r w:rsidRPr="00136D07">
        <w:t xml:space="preserve">la Reforma Procesal, </w:t>
      </w:r>
      <w:r>
        <w:t xml:space="preserve">se </w:t>
      </w:r>
      <w:r w:rsidRPr="00136D07">
        <w:t>separaba</w:t>
      </w:r>
      <w:r>
        <w:t>n</w:t>
      </w:r>
      <w:r w:rsidRPr="00136D07">
        <w:t xml:space="preserve"> las funciones</w:t>
      </w:r>
      <w:r>
        <w:t>,</w:t>
      </w:r>
      <w:r w:rsidRPr="00136D07">
        <w:t xml:space="preserve"> creándose nuevas instituciones como el </w:t>
      </w:r>
      <w:r w:rsidRPr="00136D07">
        <w:rPr>
          <w:b/>
          <w:bCs/>
        </w:rPr>
        <w:t>Ministerio Público</w:t>
      </w:r>
      <w:r w:rsidRPr="00136D07">
        <w:t xml:space="preserve"> que investiga y acusa, y </w:t>
      </w:r>
      <w:r w:rsidRPr="00136D07">
        <w:rPr>
          <w:b/>
          <w:bCs/>
        </w:rPr>
        <w:t>Jueces de Garantía</w:t>
      </w:r>
      <w:r w:rsidRPr="00136D07">
        <w:t xml:space="preserve"> y </w:t>
      </w:r>
      <w:r w:rsidRPr="00136D07">
        <w:rPr>
          <w:b/>
          <w:bCs/>
        </w:rPr>
        <w:t>Tribunales Orales</w:t>
      </w:r>
      <w:r w:rsidRPr="00136D07">
        <w:t xml:space="preserve"> que sentencian luego de un juicio oral y público. </w:t>
      </w:r>
    </w:p>
    <w:p w14:paraId="591E0A5D" w14:textId="16136870" w:rsidR="00136D07" w:rsidRDefault="00136D07" w:rsidP="00136D07">
      <w:pPr>
        <w:spacing w:after="0" w:line="240" w:lineRule="auto"/>
        <w:jc w:val="both"/>
        <w:rPr>
          <w:sz w:val="24"/>
          <w:szCs w:val="24"/>
        </w:rPr>
      </w:pPr>
      <w:r w:rsidRPr="00136D07">
        <w:rPr>
          <w:sz w:val="24"/>
          <w:szCs w:val="24"/>
        </w:rPr>
        <w:t>(Texto Educación Ciudadana, Editorial Santillana, páginas 114 y 115)</w:t>
      </w:r>
    </w:p>
    <w:p w14:paraId="019A4717" w14:textId="16A5EBE4" w:rsidR="00136D07" w:rsidRDefault="00136D07" w:rsidP="00136D07">
      <w:pPr>
        <w:spacing w:after="0" w:line="240" w:lineRule="auto"/>
        <w:jc w:val="both"/>
        <w:rPr>
          <w:sz w:val="24"/>
          <w:szCs w:val="24"/>
        </w:rPr>
      </w:pPr>
    </w:p>
    <w:p w14:paraId="33BDB168" w14:textId="77777777" w:rsidR="001624FB" w:rsidRDefault="00136D07" w:rsidP="001624FB">
      <w:pPr>
        <w:spacing w:after="0" w:line="240" w:lineRule="auto"/>
        <w:jc w:val="both"/>
        <w:rPr>
          <w:b/>
          <w:bCs/>
          <w:sz w:val="24"/>
          <w:szCs w:val="24"/>
        </w:rPr>
      </w:pPr>
      <w:r w:rsidRPr="00136D07">
        <w:rPr>
          <w:b/>
          <w:bCs/>
          <w:sz w:val="24"/>
          <w:szCs w:val="24"/>
        </w:rPr>
        <w:t>Resultados de la Reforma:</w:t>
      </w:r>
    </w:p>
    <w:p w14:paraId="4DD4204A" w14:textId="57214E17" w:rsidR="001624FB" w:rsidRDefault="00136D07" w:rsidP="001624FB">
      <w:pPr>
        <w:spacing w:after="0" w:line="240" w:lineRule="auto"/>
        <w:jc w:val="both"/>
        <w:rPr>
          <w:rFonts w:ascii="Arial"/>
          <w:b/>
        </w:rPr>
      </w:pPr>
      <w:r>
        <w:rPr>
          <w:rFonts w:ascii="Arial"/>
          <w:b/>
        </w:rPr>
        <w:t xml:space="preserve"> </w:t>
      </w:r>
    </w:p>
    <w:p w14:paraId="3B1151DD" w14:textId="4924CC2C" w:rsidR="00BF4E56" w:rsidRDefault="00136D07" w:rsidP="001624FB">
      <w:pPr>
        <w:spacing w:after="0" w:line="240" w:lineRule="auto"/>
        <w:jc w:val="both"/>
        <w:rPr>
          <w:rFonts w:ascii="Arial"/>
          <w:b/>
          <w:noProof/>
        </w:rPr>
      </w:pPr>
      <w:r>
        <w:rPr>
          <w:rFonts w:ascii="Arial"/>
          <w:b/>
        </w:rPr>
        <w:t xml:space="preserve">              </w:t>
      </w:r>
      <w:r w:rsidR="001624FB">
        <w:rPr>
          <w:rFonts w:ascii="Arial"/>
          <w:b/>
        </w:rPr>
        <w:t xml:space="preserve">    </w:t>
      </w:r>
      <w:r>
        <w:rPr>
          <w:rFonts w:ascii="Arial"/>
          <w:b/>
        </w:rPr>
        <w:t xml:space="preserve">           </w:t>
      </w:r>
      <w:r w:rsidR="001624FB">
        <w:rPr>
          <w:rFonts w:ascii="Arial"/>
          <w:b/>
        </w:rPr>
        <w:t xml:space="preserve">      </w:t>
      </w:r>
      <w:r w:rsidR="001624FB">
        <w:rPr>
          <w:rFonts w:ascii="Arial"/>
          <w:b/>
          <w:noProof/>
        </w:rPr>
        <w:t xml:space="preserve">             </w:t>
      </w:r>
      <w:r w:rsidR="001624FB" w:rsidRPr="00136D07">
        <w:rPr>
          <w:rFonts w:ascii="Arial"/>
          <w:b/>
          <w:noProof/>
        </w:rPr>
        <w:drawing>
          <wp:inline distT="0" distB="0" distL="0" distR="0" wp14:anchorId="2C6680F5" wp14:editId="6521D34A">
            <wp:extent cx="5534025" cy="239966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46466" cy="2405060"/>
                    </a:xfrm>
                    <a:prstGeom prst="rect">
                      <a:avLst/>
                    </a:prstGeom>
                    <a:noFill/>
                    <a:ln>
                      <a:noFill/>
                    </a:ln>
                  </pic:spPr>
                </pic:pic>
              </a:graphicData>
            </a:graphic>
          </wp:inline>
        </w:drawing>
      </w:r>
    </w:p>
    <w:p w14:paraId="699619E7" w14:textId="0B618655" w:rsidR="001624FB" w:rsidRDefault="001624FB" w:rsidP="001624FB">
      <w:pPr>
        <w:pStyle w:val="Textoindependiente"/>
        <w:spacing w:before="218"/>
        <w:ind w:right="4080"/>
        <w:rPr>
          <w:rFonts w:ascii="Arial"/>
          <w:b/>
        </w:rPr>
      </w:pPr>
      <w:r>
        <w:rPr>
          <w:rFonts w:ascii="Arial"/>
          <w:b/>
        </w:rPr>
        <w:t xml:space="preserve">            </w:t>
      </w:r>
      <w:r w:rsidRPr="001624FB">
        <w:rPr>
          <w:rFonts w:ascii="Arial"/>
          <w:b/>
          <w:noProof/>
        </w:rPr>
        <w:drawing>
          <wp:inline distT="0" distB="0" distL="0" distR="0" wp14:anchorId="62AD1564" wp14:editId="7646E9E7">
            <wp:extent cx="5629275" cy="214249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6571" cy="2145267"/>
                    </a:xfrm>
                    <a:prstGeom prst="rect">
                      <a:avLst/>
                    </a:prstGeom>
                    <a:noFill/>
                    <a:ln>
                      <a:noFill/>
                    </a:ln>
                  </pic:spPr>
                </pic:pic>
              </a:graphicData>
            </a:graphic>
          </wp:inline>
        </w:drawing>
      </w:r>
      <w:r>
        <w:rPr>
          <w:rFonts w:ascii="Arial"/>
          <w:b/>
        </w:rPr>
        <w:t xml:space="preserve">                  </w:t>
      </w:r>
    </w:p>
    <w:p w14:paraId="68351F8E" w14:textId="696E1D85" w:rsidR="001624FB" w:rsidRDefault="001624FB" w:rsidP="001624FB">
      <w:pPr>
        <w:pStyle w:val="Textoindependiente"/>
        <w:spacing w:before="218"/>
        <w:ind w:right="4080"/>
        <w:rPr>
          <w:rFonts w:ascii="Arial"/>
          <w:b/>
        </w:rPr>
      </w:pPr>
    </w:p>
    <w:p w14:paraId="37487E7D" w14:textId="1988460C" w:rsidR="001624FB" w:rsidRDefault="001624FB" w:rsidP="001624FB">
      <w:pPr>
        <w:pStyle w:val="Textoindependiente"/>
        <w:spacing w:before="218"/>
        <w:ind w:right="4080"/>
        <w:rPr>
          <w:rFonts w:ascii="Arial"/>
          <w:b/>
        </w:rPr>
      </w:pPr>
    </w:p>
    <w:p w14:paraId="1BF3E90B" w14:textId="774004B0" w:rsidR="001624FB" w:rsidRDefault="001624FB" w:rsidP="001624FB">
      <w:pPr>
        <w:pStyle w:val="Textoindependiente"/>
        <w:spacing w:before="218"/>
        <w:ind w:right="4080"/>
        <w:rPr>
          <w:rFonts w:ascii="Arial"/>
          <w:b/>
        </w:rPr>
      </w:pPr>
    </w:p>
    <w:p w14:paraId="6E00CEE4" w14:textId="6DCCFCD1" w:rsidR="001624FB" w:rsidRDefault="001624FB" w:rsidP="001624FB">
      <w:pPr>
        <w:pStyle w:val="Textoindependiente"/>
        <w:spacing w:before="218"/>
        <w:ind w:right="4080"/>
        <w:rPr>
          <w:rFonts w:ascii="Arial"/>
          <w:b/>
        </w:rPr>
      </w:pPr>
    </w:p>
    <w:p w14:paraId="6C0BD150" w14:textId="1C69DFC7" w:rsidR="00764351" w:rsidRDefault="00764351" w:rsidP="001624FB">
      <w:pPr>
        <w:pStyle w:val="Textoindependiente"/>
        <w:spacing w:before="218"/>
        <w:ind w:right="4080"/>
        <w:rPr>
          <w:rFonts w:ascii="Arial"/>
          <w:b/>
        </w:rPr>
      </w:pPr>
    </w:p>
    <w:p w14:paraId="643EF58A" w14:textId="77777777" w:rsidR="00764351" w:rsidRDefault="00764351" w:rsidP="00764351">
      <w:pPr>
        <w:pStyle w:val="Textoindependiente"/>
        <w:ind w:left="170" w:right="131"/>
        <w:jc w:val="both"/>
      </w:pPr>
      <w:r>
        <w:rPr>
          <w:spacing w:val="-1"/>
        </w:rPr>
        <w:t>En</w:t>
      </w:r>
      <w:r>
        <w:rPr>
          <w:spacing w:val="-17"/>
        </w:rPr>
        <w:t xml:space="preserve"> </w:t>
      </w:r>
      <w:r>
        <w:rPr>
          <w:spacing w:val="-1"/>
        </w:rPr>
        <w:t>octubre</w:t>
      </w:r>
      <w:r>
        <w:rPr>
          <w:spacing w:val="-17"/>
        </w:rPr>
        <w:t xml:space="preserve"> </w:t>
      </w:r>
      <w:r>
        <w:rPr>
          <w:spacing w:val="-1"/>
        </w:rPr>
        <w:t>del</w:t>
      </w:r>
      <w:r>
        <w:rPr>
          <w:spacing w:val="-15"/>
        </w:rPr>
        <w:t xml:space="preserve"> </w:t>
      </w:r>
      <w:r>
        <w:rPr>
          <w:spacing w:val="-1"/>
        </w:rPr>
        <w:t>año</w:t>
      </w:r>
      <w:r>
        <w:rPr>
          <w:spacing w:val="-17"/>
        </w:rPr>
        <w:t xml:space="preserve"> </w:t>
      </w:r>
      <w:r>
        <w:rPr>
          <w:spacing w:val="-1"/>
        </w:rPr>
        <w:t>2000</w:t>
      </w:r>
      <w:r>
        <w:rPr>
          <w:spacing w:val="-12"/>
        </w:rPr>
        <w:t xml:space="preserve"> </w:t>
      </w:r>
      <w:r>
        <w:rPr>
          <w:spacing w:val="-1"/>
        </w:rPr>
        <w:t>se</w:t>
      </w:r>
      <w:r>
        <w:rPr>
          <w:spacing w:val="-17"/>
        </w:rPr>
        <w:t xml:space="preserve"> </w:t>
      </w:r>
      <w:r>
        <w:rPr>
          <w:spacing w:val="-1"/>
        </w:rPr>
        <w:t>publicó</w:t>
      </w:r>
      <w:r>
        <w:rPr>
          <w:spacing w:val="-17"/>
        </w:rPr>
        <w:t xml:space="preserve"> </w:t>
      </w:r>
      <w:r>
        <w:rPr>
          <w:spacing w:val="-1"/>
        </w:rPr>
        <w:t>el</w:t>
      </w:r>
      <w:r>
        <w:rPr>
          <w:spacing w:val="-14"/>
        </w:rPr>
        <w:t xml:space="preserve"> </w:t>
      </w:r>
      <w:r>
        <w:rPr>
          <w:spacing w:val="-1"/>
        </w:rPr>
        <w:t>nuevo</w:t>
      </w:r>
      <w:r>
        <w:rPr>
          <w:spacing w:val="-12"/>
        </w:rPr>
        <w:t xml:space="preserve"> </w:t>
      </w:r>
      <w:r>
        <w:rPr>
          <w:spacing w:val="-1"/>
        </w:rPr>
        <w:t>Código</w:t>
      </w:r>
      <w:r>
        <w:rPr>
          <w:spacing w:val="-12"/>
        </w:rPr>
        <w:t xml:space="preserve"> </w:t>
      </w:r>
      <w:r>
        <w:rPr>
          <w:spacing w:val="-1"/>
        </w:rPr>
        <w:t>Procesal</w:t>
      </w:r>
      <w:r>
        <w:rPr>
          <w:spacing w:val="-15"/>
        </w:rPr>
        <w:t xml:space="preserve"> </w:t>
      </w:r>
      <w:r>
        <w:t>Penal,</w:t>
      </w:r>
      <w:r>
        <w:rPr>
          <w:spacing w:val="-17"/>
        </w:rPr>
        <w:t xml:space="preserve"> </w:t>
      </w:r>
      <w:r>
        <w:t>que</w:t>
      </w:r>
      <w:r>
        <w:rPr>
          <w:spacing w:val="-12"/>
        </w:rPr>
        <w:t xml:space="preserve"> </w:t>
      </w:r>
      <w:r>
        <w:t>sustituyó</w:t>
      </w:r>
      <w:r>
        <w:rPr>
          <w:spacing w:val="-3"/>
        </w:rPr>
        <w:t xml:space="preserve"> </w:t>
      </w:r>
      <w:r>
        <w:t>al</w:t>
      </w:r>
      <w:r>
        <w:rPr>
          <w:spacing w:val="-18"/>
        </w:rPr>
        <w:t xml:space="preserve"> </w:t>
      </w:r>
      <w:r>
        <w:t>antiguo</w:t>
      </w:r>
      <w:r>
        <w:rPr>
          <w:spacing w:val="-12"/>
        </w:rPr>
        <w:t xml:space="preserve"> </w:t>
      </w:r>
      <w:r>
        <w:t>sistema</w:t>
      </w:r>
      <w:r>
        <w:rPr>
          <w:spacing w:val="-21"/>
        </w:rPr>
        <w:t xml:space="preserve"> </w:t>
      </w:r>
      <w:r>
        <w:t>procesal</w:t>
      </w:r>
      <w:r>
        <w:rPr>
          <w:spacing w:val="-59"/>
        </w:rPr>
        <w:t xml:space="preserve"> </w:t>
      </w:r>
      <w:r>
        <w:t>penal.</w:t>
      </w:r>
    </w:p>
    <w:p w14:paraId="5E5E93C3" w14:textId="601E770A" w:rsidR="00764351" w:rsidRDefault="00764351" w:rsidP="00764351">
      <w:pPr>
        <w:pStyle w:val="Textoindependiente"/>
        <w:spacing w:before="8"/>
        <w:rPr>
          <w:sz w:val="20"/>
        </w:rPr>
      </w:pPr>
      <w:r>
        <w:rPr>
          <w:noProof/>
        </w:rPr>
        <w:drawing>
          <wp:anchor distT="0" distB="0" distL="0" distR="0" simplePos="0" relativeHeight="251659264" behindDoc="0" locked="0" layoutInCell="1" allowOverlap="1" wp14:anchorId="2181ABF2" wp14:editId="5BBAD878">
            <wp:simplePos x="0" y="0"/>
            <wp:positionH relativeFrom="page">
              <wp:posOffset>3571875</wp:posOffset>
            </wp:positionH>
            <wp:positionV relativeFrom="paragraph">
              <wp:posOffset>109220</wp:posOffset>
            </wp:positionV>
            <wp:extent cx="3672257" cy="2958465"/>
            <wp:effectExtent l="0" t="0" r="4445" b="0"/>
            <wp:wrapNone/>
            <wp:docPr id="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3673645" cy="2959583"/>
                    </a:xfrm>
                    <a:prstGeom prst="rect">
                      <a:avLst/>
                    </a:prstGeom>
                  </pic:spPr>
                </pic:pic>
              </a:graphicData>
            </a:graphic>
            <wp14:sizeRelH relativeFrom="margin">
              <wp14:pctWidth>0</wp14:pctWidth>
            </wp14:sizeRelH>
          </wp:anchor>
        </w:drawing>
      </w:r>
    </w:p>
    <w:p w14:paraId="6D577781" w14:textId="48CC4922" w:rsidR="00764351" w:rsidRDefault="00764351" w:rsidP="00764351">
      <w:pPr>
        <w:pStyle w:val="Ttulo1"/>
        <w:ind w:left="261"/>
        <w:jc w:val="both"/>
      </w:pPr>
      <w:r>
        <w:t>La</w:t>
      </w:r>
      <w:r>
        <w:rPr>
          <w:spacing w:val="-2"/>
        </w:rPr>
        <w:t xml:space="preserve"> </w:t>
      </w:r>
      <w:r>
        <w:t>responsabilidad</w:t>
      </w:r>
      <w:r>
        <w:rPr>
          <w:spacing w:val="-3"/>
        </w:rPr>
        <w:t xml:space="preserve"> </w:t>
      </w:r>
      <w:r>
        <w:t>penal</w:t>
      </w:r>
      <w:r>
        <w:rPr>
          <w:spacing w:val="-6"/>
        </w:rPr>
        <w:t xml:space="preserve"> </w:t>
      </w:r>
      <w:r>
        <w:t>juvenil</w:t>
      </w:r>
    </w:p>
    <w:p w14:paraId="4F907DA2" w14:textId="77777777" w:rsidR="00764351" w:rsidRDefault="00764351" w:rsidP="00764351">
      <w:pPr>
        <w:pStyle w:val="Textoindependiente"/>
        <w:spacing w:before="213"/>
        <w:ind w:left="261" w:right="5708"/>
        <w:jc w:val="both"/>
      </w:pPr>
      <w:r>
        <w:t>En el contexto de la Reforma Procesal Penal y</w:t>
      </w:r>
      <w:r>
        <w:rPr>
          <w:spacing w:val="1"/>
        </w:rPr>
        <w:t xml:space="preserve"> </w:t>
      </w:r>
      <w:r>
        <w:t>considerando la Convención de los Derechos del</w:t>
      </w:r>
      <w:r>
        <w:rPr>
          <w:spacing w:val="1"/>
        </w:rPr>
        <w:t xml:space="preserve"> </w:t>
      </w:r>
      <w:r>
        <w:t>Niño, aprobada por las Naciones Unidas en 1989</w:t>
      </w:r>
      <w:r>
        <w:rPr>
          <w:spacing w:val="1"/>
        </w:rPr>
        <w:t xml:space="preserve"> </w:t>
      </w:r>
      <w:r>
        <w:t>y publicada como ley chilena en 1990, se estudió</w:t>
      </w:r>
      <w:r>
        <w:rPr>
          <w:spacing w:val="1"/>
        </w:rPr>
        <w:t xml:space="preserve"> </w:t>
      </w:r>
      <w:r>
        <w:t>el establecimiento de un</w:t>
      </w:r>
      <w:r>
        <w:rPr>
          <w:spacing w:val="1"/>
        </w:rPr>
        <w:t xml:space="preserve"> </w:t>
      </w:r>
      <w:r>
        <w:t>sistema judicial penal</w:t>
      </w:r>
      <w:r>
        <w:rPr>
          <w:spacing w:val="1"/>
        </w:rPr>
        <w:t xml:space="preserve"> </w:t>
      </w:r>
      <w:r>
        <w:t>coincidente</w:t>
      </w:r>
      <w:r>
        <w:rPr>
          <w:spacing w:val="1"/>
        </w:rPr>
        <w:t xml:space="preserve"> </w:t>
      </w:r>
      <w:r>
        <w:t>con</w:t>
      </w:r>
      <w:r>
        <w:rPr>
          <w:spacing w:val="1"/>
        </w:rPr>
        <w:t xml:space="preserve"> </w:t>
      </w:r>
      <w:r>
        <w:t>las</w:t>
      </w:r>
      <w:r>
        <w:rPr>
          <w:spacing w:val="1"/>
        </w:rPr>
        <w:t xml:space="preserve"> </w:t>
      </w:r>
      <w:r>
        <w:t>nuevas</w:t>
      </w:r>
      <w:r>
        <w:rPr>
          <w:spacing w:val="1"/>
        </w:rPr>
        <w:t xml:space="preserve"> </w:t>
      </w:r>
      <w:r>
        <w:t>perspectivas</w:t>
      </w:r>
      <w:r>
        <w:rPr>
          <w:spacing w:val="1"/>
        </w:rPr>
        <w:t xml:space="preserve"> </w:t>
      </w:r>
      <w:r>
        <w:t>de</w:t>
      </w:r>
      <w:r>
        <w:rPr>
          <w:spacing w:val="1"/>
        </w:rPr>
        <w:t xml:space="preserve"> </w:t>
      </w:r>
      <w:r>
        <w:t>visualizar</w:t>
      </w:r>
      <w:r>
        <w:rPr>
          <w:spacing w:val="1"/>
        </w:rPr>
        <w:t xml:space="preserve"> </w:t>
      </w:r>
      <w:r>
        <w:t>la</w:t>
      </w:r>
      <w:r>
        <w:rPr>
          <w:spacing w:val="1"/>
        </w:rPr>
        <w:t xml:space="preserve"> </w:t>
      </w:r>
      <w:r>
        <w:t>responsabilidad</w:t>
      </w:r>
      <w:r>
        <w:rPr>
          <w:spacing w:val="1"/>
        </w:rPr>
        <w:t xml:space="preserve"> </w:t>
      </w:r>
      <w:r>
        <w:t>penal</w:t>
      </w:r>
      <w:r>
        <w:rPr>
          <w:spacing w:val="1"/>
        </w:rPr>
        <w:t xml:space="preserve"> </w:t>
      </w:r>
      <w:r>
        <w:t>de</w:t>
      </w:r>
      <w:r>
        <w:rPr>
          <w:spacing w:val="1"/>
        </w:rPr>
        <w:t xml:space="preserve"> </w:t>
      </w:r>
      <w:r>
        <w:t>los</w:t>
      </w:r>
      <w:r>
        <w:rPr>
          <w:spacing w:val="1"/>
        </w:rPr>
        <w:t xml:space="preserve"> </w:t>
      </w:r>
      <w:r>
        <w:t>menores. De este modo, en el 2005 el Congreso</w:t>
      </w:r>
      <w:r>
        <w:rPr>
          <w:spacing w:val="1"/>
        </w:rPr>
        <w:t xml:space="preserve"> </w:t>
      </w:r>
      <w:r>
        <w:t>aprobó la ley 20 084 (publicada en 2007), que</w:t>
      </w:r>
      <w:r>
        <w:rPr>
          <w:spacing w:val="1"/>
        </w:rPr>
        <w:t xml:space="preserve"> </w:t>
      </w:r>
      <w:r>
        <w:t>busca establecer un sistema judicial destinado a</w:t>
      </w:r>
      <w:r>
        <w:rPr>
          <w:spacing w:val="1"/>
        </w:rPr>
        <w:t xml:space="preserve"> </w:t>
      </w:r>
      <w:r>
        <w:t>prevenir la delincuencia</w:t>
      </w:r>
      <w:r>
        <w:rPr>
          <w:spacing w:val="1"/>
        </w:rPr>
        <w:t xml:space="preserve"> </w:t>
      </w:r>
      <w:r>
        <w:t>juvenil,</w:t>
      </w:r>
      <w:r>
        <w:rPr>
          <w:spacing w:val="1"/>
        </w:rPr>
        <w:t xml:space="preserve"> </w:t>
      </w:r>
      <w:r>
        <w:t>respetando los</w:t>
      </w:r>
      <w:r>
        <w:rPr>
          <w:spacing w:val="1"/>
        </w:rPr>
        <w:t xml:space="preserve"> </w:t>
      </w:r>
      <w:r>
        <w:t>derechos e intereses de los menores de edad, y</w:t>
      </w:r>
      <w:r>
        <w:rPr>
          <w:spacing w:val="1"/>
        </w:rPr>
        <w:t xml:space="preserve"> </w:t>
      </w:r>
      <w:r>
        <w:t>orientado a la reinserción social de los jóvenes</w:t>
      </w:r>
      <w:r>
        <w:rPr>
          <w:spacing w:val="1"/>
        </w:rPr>
        <w:t xml:space="preserve"> </w:t>
      </w:r>
      <w:r>
        <w:t>considerados</w:t>
      </w:r>
      <w:r>
        <w:rPr>
          <w:spacing w:val="1"/>
        </w:rPr>
        <w:t xml:space="preserve"> </w:t>
      </w:r>
      <w:r>
        <w:t>culpables.</w:t>
      </w:r>
      <w:r>
        <w:rPr>
          <w:spacing w:val="1"/>
        </w:rPr>
        <w:t xml:space="preserve"> </w:t>
      </w:r>
      <w:r>
        <w:t>Según</w:t>
      </w:r>
      <w:r>
        <w:rPr>
          <w:spacing w:val="1"/>
        </w:rPr>
        <w:t xml:space="preserve"> </w:t>
      </w:r>
      <w:r>
        <w:t>esta</w:t>
      </w:r>
      <w:r>
        <w:rPr>
          <w:spacing w:val="1"/>
        </w:rPr>
        <w:t xml:space="preserve"> </w:t>
      </w:r>
      <w:r>
        <w:t>ley,</w:t>
      </w:r>
      <w:r>
        <w:rPr>
          <w:spacing w:val="1"/>
        </w:rPr>
        <w:t xml:space="preserve"> </w:t>
      </w:r>
      <w:r>
        <w:t>los</w:t>
      </w:r>
      <w:r>
        <w:rPr>
          <w:spacing w:val="1"/>
        </w:rPr>
        <w:t xml:space="preserve"> </w:t>
      </w:r>
      <w:r>
        <w:t>jóvenes</w:t>
      </w:r>
      <w:r>
        <w:rPr>
          <w:spacing w:val="-14"/>
        </w:rPr>
        <w:t xml:space="preserve"> </w:t>
      </w:r>
      <w:r>
        <w:t>entre</w:t>
      </w:r>
      <w:r>
        <w:rPr>
          <w:spacing w:val="-12"/>
        </w:rPr>
        <w:t xml:space="preserve"> </w:t>
      </w:r>
      <w:r>
        <w:t>14</w:t>
      </w:r>
      <w:r>
        <w:rPr>
          <w:spacing w:val="-12"/>
        </w:rPr>
        <w:t xml:space="preserve"> </w:t>
      </w:r>
      <w:r>
        <w:t>y</w:t>
      </w:r>
      <w:r>
        <w:rPr>
          <w:spacing w:val="-13"/>
        </w:rPr>
        <w:t xml:space="preserve"> </w:t>
      </w:r>
      <w:r>
        <w:t>18</w:t>
      </w:r>
      <w:r>
        <w:rPr>
          <w:spacing w:val="-12"/>
        </w:rPr>
        <w:t xml:space="preserve"> </w:t>
      </w:r>
      <w:r>
        <w:t>años</w:t>
      </w:r>
      <w:r>
        <w:rPr>
          <w:spacing w:val="-14"/>
        </w:rPr>
        <w:t xml:space="preserve"> </w:t>
      </w:r>
      <w:r>
        <w:t>de</w:t>
      </w:r>
      <w:r>
        <w:rPr>
          <w:spacing w:val="-7"/>
        </w:rPr>
        <w:t xml:space="preserve"> </w:t>
      </w:r>
      <w:r>
        <w:t>edad,</w:t>
      </w:r>
      <w:r>
        <w:rPr>
          <w:spacing w:val="-12"/>
        </w:rPr>
        <w:t xml:space="preserve"> </w:t>
      </w:r>
      <w:r>
        <w:t>denominados</w:t>
      </w:r>
      <w:r>
        <w:rPr>
          <w:spacing w:val="-59"/>
        </w:rPr>
        <w:t xml:space="preserve"> </w:t>
      </w:r>
      <w:r>
        <w:t>“adolescentes”,</w:t>
      </w:r>
      <w:r>
        <w:rPr>
          <w:spacing w:val="1"/>
        </w:rPr>
        <w:t xml:space="preserve"> </w:t>
      </w:r>
      <w:r>
        <w:t>tienen</w:t>
      </w:r>
      <w:r>
        <w:rPr>
          <w:spacing w:val="1"/>
        </w:rPr>
        <w:t xml:space="preserve"> </w:t>
      </w:r>
      <w:r>
        <w:t>responsabilidad</w:t>
      </w:r>
      <w:r>
        <w:rPr>
          <w:spacing w:val="1"/>
        </w:rPr>
        <w:t xml:space="preserve"> </w:t>
      </w:r>
      <w:r>
        <w:t>penal</w:t>
      </w:r>
      <w:r>
        <w:rPr>
          <w:spacing w:val="1"/>
        </w:rPr>
        <w:t xml:space="preserve"> </w:t>
      </w:r>
      <w:r>
        <w:t>y,</w:t>
      </w:r>
      <w:r>
        <w:rPr>
          <w:spacing w:val="-59"/>
        </w:rPr>
        <w:t xml:space="preserve"> </w:t>
      </w:r>
      <w:r>
        <w:rPr>
          <w:spacing w:val="-1"/>
        </w:rPr>
        <w:t>por</w:t>
      </w:r>
      <w:r>
        <w:rPr>
          <w:spacing w:val="-15"/>
        </w:rPr>
        <w:t xml:space="preserve"> </w:t>
      </w:r>
      <w:r>
        <w:rPr>
          <w:spacing w:val="-1"/>
        </w:rPr>
        <w:t>ende,</w:t>
      </w:r>
      <w:r>
        <w:rPr>
          <w:spacing w:val="-16"/>
        </w:rPr>
        <w:t xml:space="preserve"> </w:t>
      </w:r>
      <w:r>
        <w:rPr>
          <w:spacing w:val="-1"/>
        </w:rPr>
        <w:t>deben</w:t>
      </w:r>
      <w:r>
        <w:rPr>
          <w:spacing w:val="-8"/>
        </w:rPr>
        <w:t xml:space="preserve"> </w:t>
      </w:r>
      <w:r>
        <w:rPr>
          <w:spacing w:val="-1"/>
        </w:rPr>
        <w:t>asumir</w:t>
      </w:r>
      <w:r>
        <w:rPr>
          <w:spacing w:val="-15"/>
        </w:rPr>
        <w:t xml:space="preserve"> </w:t>
      </w:r>
      <w:r>
        <w:t>las</w:t>
      </w:r>
      <w:r>
        <w:rPr>
          <w:spacing w:val="-13"/>
        </w:rPr>
        <w:t xml:space="preserve"> </w:t>
      </w:r>
      <w:r>
        <w:t>consecuencias</w:t>
      </w:r>
      <w:r>
        <w:rPr>
          <w:spacing w:val="-13"/>
        </w:rPr>
        <w:t xml:space="preserve"> </w:t>
      </w:r>
      <w:r>
        <w:t>legales</w:t>
      </w:r>
      <w:r>
        <w:rPr>
          <w:spacing w:val="-59"/>
        </w:rPr>
        <w:t xml:space="preserve"> </w:t>
      </w:r>
      <w:r>
        <w:t>de</w:t>
      </w:r>
      <w:r>
        <w:rPr>
          <w:spacing w:val="1"/>
        </w:rPr>
        <w:t xml:space="preserve"> </w:t>
      </w:r>
      <w:r>
        <w:t>sus</w:t>
      </w:r>
      <w:r>
        <w:rPr>
          <w:spacing w:val="-4"/>
        </w:rPr>
        <w:t xml:space="preserve"> </w:t>
      </w:r>
      <w:r>
        <w:t>actos</w:t>
      </w:r>
      <w:r>
        <w:rPr>
          <w:spacing w:val="1"/>
        </w:rPr>
        <w:t xml:space="preserve"> </w:t>
      </w:r>
      <w:r>
        <w:t>(sean</w:t>
      </w:r>
      <w:r>
        <w:rPr>
          <w:spacing w:val="-7"/>
        </w:rPr>
        <w:t xml:space="preserve"> </w:t>
      </w:r>
      <w:r>
        <w:t>faltas</w:t>
      </w:r>
      <w:r>
        <w:rPr>
          <w:spacing w:val="-4"/>
        </w:rPr>
        <w:t xml:space="preserve"> </w:t>
      </w:r>
      <w:r>
        <w:t>o</w:t>
      </w:r>
      <w:r>
        <w:rPr>
          <w:spacing w:val="-2"/>
        </w:rPr>
        <w:t xml:space="preserve"> </w:t>
      </w:r>
      <w:r>
        <w:t>delitos).</w:t>
      </w:r>
    </w:p>
    <w:p w14:paraId="75308DBC" w14:textId="77777777" w:rsidR="00764351" w:rsidRDefault="00764351" w:rsidP="00764351">
      <w:pPr>
        <w:pStyle w:val="Textoindependiente"/>
        <w:rPr>
          <w:sz w:val="19"/>
        </w:rPr>
      </w:pPr>
    </w:p>
    <w:p w14:paraId="62BA55FD" w14:textId="78D4BAFC" w:rsidR="00764351" w:rsidRDefault="00764351" w:rsidP="00764351">
      <w:pPr>
        <w:pStyle w:val="Textoindependiente"/>
        <w:ind w:left="170" w:right="119"/>
        <w:jc w:val="both"/>
      </w:pPr>
      <w:r>
        <w:t>Para ello, la ley establece un conjunto de sanciones, que se clasifican en dos tipos: privativas de libertad y</w:t>
      </w:r>
      <w:r>
        <w:rPr>
          <w:spacing w:val="1"/>
        </w:rPr>
        <w:t xml:space="preserve"> </w:t>
      </w:r>
      <w:r>
        <w:t>no</w:t>
      </w:r>
      <w:r>
        <w:rPr>
          <w:spacing w:val="-5"/>
        </w:rPr>
        <w:t xml:space="preserve"> </w:t>
      </w:r>
      <w:r>
        <w:t>privativas</w:t>
      </w:r>
      <w:r>
        <w:rPr>
          <w:spacing w:val="-6"/>
        </w:rPr>
        <w:t xml:space="preserve"> </w:t>
      </w:r>
      <w:r>
        <w:t>de</w:t>
      </w:r>
      <w:r>
        <w:rPr>
          <w:spacing w:val="-1"/>
        </w:rPr>
        <w:t xml:space="preserve"> </w:t>
      </w:r>
      <w:r>
        <w:t>libertad.</w:t>
      </w:r>
      <w:r>
        <w:rPr>
          <w:spacing w:val="-7"/>
        </w:rPr>
        <w:t xml:space="preserve"> </w:t>
      </w:r>
      <w:r>
        <w:t>Las</w:t>
      </w:r>
      <w:r>
        <w:rPr>
          <w:spacing w:val="-6"/>
        </w:rPr>
        <w:t xml:space="preserve"> </w:t>
      </w:r>
      <w:r>
        <w:t>sanciones</w:t>
      </w:r>
      <w:r>
        <w:rPr>
          <w:spacing w:val="-6"/>
        </w:rPr>
        <w:t xml:space="preserve"> </w:t>
      </w:r>
      <w:r>
        <w:t>privativas</w:t>
      </w:r>
      <w:r>
        <w:rPr>
          <w:spacing w:val="-7"/>
        </w:rPr>
        <w:t xml:space="preserve"> </w:t>
      </w:r>
      <w:r>
        <w:t>de</w:t>
      </w:r>
      <w:r>
        <w:rPr>
          <w:spacing w:val="-4"/>
        </w:rPr>
        <w:t xml:space="preserve"> </w:t>
      </w:r>
      <w:r>
        <w:t>libertad consisten</w:t>
      </w:r>
      <w:r>
        <w:rPr>
          <w:spacing w:val="-9"/>
        </w:rPr>
        <w:t xml:space="preserve"> </w:t>
      </w:r>
      <w:r>
        <w:t>en</w:t>
      </w:r>
      <w:r>
        <w:rPr>
          <w:spacing w:val="-5"/>
        </w:rPr>
        <w:t xml:space="preserve"> </w:t>
      </w:r>
      <w:r>
        <w:t>la</w:t>
      </w:r>
      <w:r>
        <w:rPr>
          <w:spacing w:val="-4"/>
        </w:rPr>
        <w:t xml:space="preserve"> </w:t>
      </w:r>
      <w:r>
        <w:t>internación</w:t>
      </w:r>
      <w:r>
        <w:rPr>
          <w:spacing w:val="-5"/>
        </w:rPr>
        <w:t xml:space="preserve"> </w:t>
      </w:r>
      <w:r>
        <w:t>en régimen</w:t>
      </w:r>
      <w:r>
        <w:rPr>
          <w:spacing w:val="-9"/>
        </w:rPr>
        <w:t xml:space="preserve"> </w:t>
      </w:r>
      <w:r>
        <w:t>cerrado</w:t>
      </w:r>
      <w:r>
        <w:rPr>
          <w:spacing w:val="-59"/>
        </w:rPr>
        <w:t xml:space="preserve"> </w:t>
      </w:r>
      <w:r>
        <w:t>o semicerrado, con programa de reinserción social. Los programas de reinserción se realizan, en lo posible,</w:t>
      </w:r>
      <w:r>
        <w:rPr>
          <w:spacing w:val="-59"/>
        </w:rPr>
        <w:t xml:space="preserve"> </w:t>
      </w:r>
      <w:r>
        <w:t>con el apoyo de la familia del menor. Las sanciones no privativas de libertad van desde las menos graves</w:t>
      </w:r>
      <w:r>
        <w:rPr>
          <w:spacing w:val="1"/>
        </w:rPr>
        <w:t xml:space="preserve"> </w:t>
      </w:r>
      <w:r>
        <w:t>(para el caso de faltas), tales como amonestación verbal del juez, hasta las de mayor grado, como la de</w:t>
      </w:r>
      <w:r>
        <w:rPr>
          <w:spacing w:val="1"/>
        </w:rPr>
        <w:t xml:space="preserve"> </w:t>
      </w:r>
      <w:r>
        <w:t>establecer servicios en beneficio de la comunidad. Esta última sanción, en todo caso, debe ser compatible</w:t>
      </w:r>
      <w:r>
        <w:rPr>
          <w:spacing w:val="1"/>
        </w:rPr>
        <w:t xml:space="preserve"> </w:t>
      </w:r>
      <w:r>
        <w:t>con</w:t>
      </w:r>
      <w:r>
        <w:rPr>
          <w:spacing w:val="1"/>
        </w:rPr>
        <w:t xml:space="preserve"> </w:t>
      </w:r>
      <w:r>
        <w:t>la</w:t>
      </w:r>
      <w:r>
        <w:rPr>
          <w:spacing w:val="2"/>
        </w:rPr>
        <w:t xml:space="preserve"> </w:t>
      </w:r>
      <w:r>
        <w:t>actividad</w:t>
      </w:r>
      <w:r>
        <w:rPr>
          <w:spacing w:val="-2"/>
        </w:rPr>
        <w:t xml:space="preserve"> </w:t>
      </w:r>
      <w:r>
        <w:t>educacional</w:t>
      </w:r>
      <w:r>
        <w:rPr>
          <w:spacing w:val="-6"/>
        </w:rPr>
        <w:t xml:space="preserve"> </w:t>
      </w:r>
      <w:r>
        <w:t>o</w:t>
      </w:r>
      <w:r>
        <w:rPr>
          <w:spacing w:val="2"/>
        </w:rPr>
        <w:t xml:space="preserve"> </w:t>
      </w:r>
      <w:r>
        <w:t>laboral</w:t>
      </w:r>
      <w:r>
        <w:rPr>
          <w:spacing w:val="-5"/>
        </w:rPr>
        <w:t xml:space="preserve"> </w:t>
      </w:r>
      <w:r>
        <w:t>que</w:t>
      </w:r>
      <w:r>
        <w:rPr>
          <w:spacing w:val="-2"/>
        </w:rPr>
        <w:t xml:space="preserve"> </w:t>
      </w:r>
      <w:r>
        <w:t>el</w:t>
      </w:r>
      <w:r>
        <w:rPr>
          <w:spacing w:val="-1"/>
        </w:rPr>
        <w:t xml:space="preserve"> </w:t>
      </w:r>
      <w:r>
        <w:t>adolescente</w:t>
      </w:r>
      <w:r>
        <w:rPr>
          <w:spacing w:val="-2"/>
        </w:rPr>
        <w:t xml:space="preserve"> </w:t>
      </w:r>
      <w:r>
        <w:t>realice.</w:t>
      </w:r>
    </w:p>
    <w:p w14:paraId="5C73D25A" w14:textId="25CE8F79" w:rsidR="001624FB" w:rsidRDefault="001624FB" w:rsidP="001624FB">
      <w:pPr>
        <w:pStyle w:val="Textoindependiente"/>
        <w:spacing w:before="218"/>
        <w:ind w:right="4080"/>
        <w:rPr>
          <w:rFonts w:ascii="Arial"/>
          <w:b/>
        </w:rPr>
      </w:pPr>
      <w:r>
        <w:rPr>
          <w:noProof/>
        </w:rPr>
        <w:drawing>
          <wp:inline distT="0" distB="0" distL="0" distR="0" wp14:anchorId="0062E702" wp14:editId="6F809FE8">
            <wp:extent cx="6117590" cy="27108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7590" cy="2710815"/>
                    </a:xfrm>
                    <a:prstGeom prst="rect">
                      <a:avLst/>
                    </a:prstGeom>
                  </pic:spPr>
                </pic:pic>
              </a:graphicData>
            </a:graphic>
          </wp:inline>
        </w:drawing>
      </w:r>
    </w:p>
    <w:p w14:paraId="723C3761" w14:textId="77777777" w:rsidR="00BF4E56" w:rsidRDefault="00BF4E56" w:rsidP="00BF4E56">
      <w:pPr>
        <w:pStyle w:val="Textoindependiente"/>
        <w:spacing w:before="2"/>
        <w:rPr>
          <w:sz w:val="20"/>
        </w:rPr>
      </w:pPr>
    </w:p>
    <w:p w14:paraId="1C9800ED" w14:textId="71EDF638" w:rsidR="00BF4E56" w:rsidRDefault="001624FB" w:rsidP="007561FD">
      <w:pPr>
        <w:spacing w:after="0" w:line="240" w:lineRule="auto"/>
        <w:rPr>
          <w:sz w:val="24"/>
          <w:szCs w:val="24"/>
        </w:rPr>
      </w:pPr>
      <w:r>
        <w:rPr>
          <w:noProof/>
        </w:rPr>
        <w:lastRenderedPageBreak/>
        <w:drawing>
          <wp:inline distT="0" distB="0" distL="0" distR="0" wp14:anchorId="2F6587AB" wp14:editId="65126EA1">
            <wp:extent cx="5715000" cy="3505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15000" cy="3505200"/>
                    </a:xfrm>
                    <a:prstGeom prst="rect">
                      <a:avLst/>
                    </a:prstGeom>
                  </pic:spPr>
                </pic:pic>
              </a:graphicData>
            </a:graphic>
          </wp:inline>
        </w:drawing>
      </w:r>
    </w:p>
    <w:p w14:paraId="0AE23FD9" w14:textId="77777777" w:rsidR="00764351" w:rsidRDefault="00764351" w:rsidP="007561FD">
      <w:pPr>
        <w:spacing w:after="0" w:line="240" w:lineRule="auto"/>
        <w:rPr>
          <w:sz w:val="24"/>
          <w:szCs w:val="24"/>
        </w:rPr>
      </w:pPr>
    </w:p>
    <w:p w14:paraId="510BB150" w14:textId="5A29A66B" w:rsidR="00764351" w:rsidRPr="00764351" w:rsidRDefault="00764351" w:rsidP="007561FD">
      <w:pPr>
        <w:spacing w:after="0" w:line="240" w:lineRule="auto"/>
        <w:rPr>
          <w:b/>
          <w:bCs/>
          <w:sz w:val="24"/>
          <w:szCs w:val="24"/>
        </w:rPr>
      </w:pPr>
      <w:r>
        <w:rPr>
          <w:sz w:val="24"/>
          <w:szCs w:val="24"/>
        </w:rPr>
        <w:t xml:space="preserve">Revisar página: </w:t>
      </w:r>
      <w:r w:rsidRPr="00764351">
        <w:rPr>
          <w:b/>
          <w:bCs/>
          <w:sz w:val="24"/>
          <w:szCs w:val="24"/>
        </w:rPr>
        <w:t>poderjudicialparatodos.cl</w:t>
      </w:r>
    </w:p>
    <w:p w14:paraId="33988150" w14:textId="0F2B0995" w:rsidR="001624FB" w:rsidRPr="00764351" w:rsidRDefault="001624FB" w:rsidP="007561FD">
      <w:pPr>
        <w:spacing w:after="0" w:line="240" w:lineRule="auto"/>
        <w:rPr>
          <w:b/>
          <w:bCs/>
          <w:sz w:val="24"/>
          <w:szCs w:val="24"/>
        </w:rPr>
      </w:pPr>
    </w:p>
    <w:p w14:paraId="0DD9E8B2" w14:textId="54CBA611" w:rsidR="001624FB" w:rsidRPr="001624FB" w:rsidRDefault="001624FB" w:rsidP="001624FB">
      <w:pPr>
        <w:pStyle w:val="Default"/>
        <w:rPr>
          <w:b/>
          <w:bCs/>
        </w:rPr>
      </w:pPr>
      <w:r w:rsidRPr="001624FB">
        <w:rPr>
          <w:b/>
          <w:bCs/>
        </w:rPr>
        <w:t>Ejemplos de casos:</w:t>
      </w:r>
    </w:p>
    <w:p w14:paraId="7BC0B540" w14:textId="77777777" w:rsidR="001624FB" w:rsidRPr="00764351" w:rsidRDefault="001624FB" w:rsidP="001624FB">
      <w:pPr>
        <w:pStyle w:val="Default"/>
      </w:pPr>
      <w:r w:rsidRPr="00764351">
        <w:t xml:space="preserve">Caso 1: </w:t>
      </w:r>
      <w:r w:rsidRPr="00764351">
        <w:rPr>
          <w:b/>
          <w:bCs/>
        </w:rPr>
        <w:t xml:space="preserve">Joven infringe reiteradamente la cuarentena total en Chillán </w:t>
      </w:r>
    </w:p>
    <w:p w14:paraId="2AF6481F" w14:textId="4E2F8405" w:rsidR="001624FB" w:rsidRPr="00764351" w:rsidRDefault="001624FB" w:rsidP="001624FB">
      <w:pPr>
        <w:pStyle w:val="Default"/>
      </w:pPr>
      <w:r w:rsidRPr="00764351">
        <w:t xml:space="preserve">Ni una, ni dos ni tres. Fueron cuatro las detenciones en menos de una semana, dos de ellas en un mismo día, que tuvo Diego Mella Veloso, de 21 años, todas por infringir la cuarentena total existente para Chillán y Chillán Viejo, poniendo en riesgo la salud pública de la población de la región. </w:t>
      </w:r>
    </w:p>
    <w:p w14:paraId="0FE8A2DD" w14:textId="77777777" w:rsidR="00764351" w:rsidRPr="00764351" w:rsidRDefault="00764351" w:rsidP="001624FB">
      <w:pPr>
        <w:pStyle w:val="Default"/>
      </w:pPr>
    </w:p>
    <w:p w14:paraId="45398815" w14:textId="77777777" w:rsidR="001624FB" w:rsidRPr="00764351" w:rsidRDefault="001624FB" w:rsidP="001624FB">
      <w:pPr>
        <w:pStyle w:val="Default"/>
      </w:pPr>
      <w:r w:rsidRPr="00764351">
        <w:rPr>
          <w:rFonts w:ascii="Arial" w:hAnsi="Arial" w:cs="Arial"/>
        </w:rPr>
        <w:t xml:space="preserve">• </w:t>
      </w:r>
      <w:r w:rsidRPr="00764351">
        <w:t xml:space="preserve">Caso 2: </w:t>
      </w:r>
      <w:r w:rsidRPr="00764351">
        <w:rPr>
          <w:b/>
          <w:bCs/>
        </w:rPr>
        <w:t xml:space="preserve">Menores de 13 y 16 años son detenidos tras "tour delictual" que incluyó encerrona a juez en Vitacura </w:t>
      </w:r>
    </w:p>
    <w:p w14:paraId="4B2657A8" w14:textId="77777777" w:rsidR="001624FB" w:rsidRPr="00764351" w:rsidRDefault="001624FB" w:rsidP="001624FB">
      <w:pPr>
        <w:pStyle w:val="Default"/>
      </w:pPr>
    </w:p>
    <w:p w14:paraId="011B4C9C" w14:textId="6ABCB31A" w:rsidR="001624FB" w:rsidRPr="00764351" w:rsidRDefault="001624FB" w:rsidP="001624FB">
      <w:pPr>
        <w:spacing w:after="0" w:line="240" w:lineRule="auto"/>
        <w:rPr>
          <w:sz w:val="24"/>
          <w:szCs w:val="24"/>
        </w:rPr>
      </w:pPr>
      <w:r w:rsidRPr="00764351">
        <w:rPr>
          <w:sz w:val="24"/>
          <w:szCs w:val="24"/>
        </w:rPr>
        <w:t>Personal de carabineros detuvo a tres presuntos integrantes de una banda dedicada al robo de vehículos en Santiago, quienes durante la noche realizaron un "tour delictual" que incluyó la sustracción del automóvil de un juez de familia en la comuna de Vitacura.</w:t>
      </w:r>
    </w:p>
    <w:p w14:paraId="642FDCD6" w14:textId="1B37E944" w:rsidR="00764351" w:rsidRPr="00764351" w:rsidRDefault="00764351" w:rsidP="001624FB">
      <w:pPr>
        <w:spacing w:after="0" w:line="240" w:lineRule="auto"/>
        <w:rPr>
          <w:sz w:val="24"/>
          <w:szCs w:val="24"/>
        </w:rPr>
      </w:pPr>
    </w:p>
    <w:p w14:paraId="4AFCA248" w14:textId="23B7E54B" w:rsidR="00764351" w:rsidRPr="00764351" w:rsidRDefault="00764351" w:rsidP="001624FB">
      <w:pPr>
        <w:spacing w:after="0" w:line="240" w:lineRule="auto"/>
        <w:rPr>
          <w:b/>
          <w:bCs/>
          <w:sz w:val="24"/>
          <w:szCs w:val="24"/>
        </w:rPr>
      </w:pPr>
      <w:proofErr w:type="gramStart"/>
      <w:r w:rsidRPr="00764351">
        <w:rPr>
          <w:b/>
          <w:bCs/>
          <w:sz w:val="24"/>
          <w:szCs w:val="24"/>
        </w:rPr>
        <w:t>Actividades.-</w:t>
      </w:r>
      <w:proofErr w:type="gramEnd"/>
    </w:p>
    <w:p w14:paraId="60E42B76" w14:textId="17DB7523" w:rsidR="00764351" w:rsidRDefault="00764351" w:rsidP="001624FB">
      <w:pPr>
        <w:spacing w:after="0" w:line="240" w:lineRule="auto"/>
        <w:rPr>
          <w:sz w:val="24"/>
          <w:szCs w:val="24"/>
        </w:rPr>
      </w:pPr>
      <w:r w:rsidRPr="00764351">
        <w:rPr>
          <w:sz w:val="24"/>
          <w:szCs w:val="24"/>
        </w:rPr>
        <w:t>Según los casos anteriores ¿</w:t>
      </w:r>
      <w:r>
        <w:rPr>
          <w:sz w:val="24"/>
          <w:szCs w:val="24"/>
        </w:rPr>
        <w:t>Q</w:t>
      </w:r>
      <w:r w:rsidRPr="00764351">
        <w:rPr>
          <w:sz w:val="24"/>
          <w:szCs w:val="24"/>
        </w:rPr>
        <w:t>u</w:t>
      </w:r>
      <w:r>
        <w:rPr>
          <w:sz w:val="24"/>
          <w:szCs w:val="24"/>
        </w:rPr>
        <w:t>é</w:t>
      </w:r>
      <w:r w:rsidRPr="00764351">
        <w:rPr>
          <w:sz w:val="24"/>
          <w:szCs w:val="24"/>
        </w:rPr>
        <w:t xml:space="preserve"> penas pueden recibir en cada caso? ¿Qué será determinante para ello?</w:t>
      </w:r>
    </w:p>
    <w:p w14:paraId="59297117" w14:textId="06A72AAC" w:rsidR="00764351" w:rsidRDefault="00764351" w:rsidP="001624FB">
      <w:pPr>
        <w:spacing w:after="0" w:line="240" w:lineRule="auto"/>
        <w:rPr>
          <w:sz w:val="24"/>
          <w:szCs w:val="24"/>
        </w:rPr>
      </w:pPr>
      <w:r>
        <w:rPr>
          <w:sz w:val="24"/>
          <w:szCs w:val="24"/>
        </w:rPr>
        <w:t>……………………………………………………………………………………………………………………………………………………………………………………………………………………………………………………………………………………………………………………………………………………………………………………………………………………………………………………………………………</w:t>
      </w:r>
      <w:r w:rsidR="00F959E4">
        <w:rPr>
          <w:sz w:val="24"/>
          <w:szCs w:val="24"/>
        </w:rPr>
        <w:t>……………………………………………………………………………………………………………………………………………………………</w:t>
      </w:r>
    </w:p>
    <w:p w14:paraId="2CE0CEEC" w14:textId="476EF91E" w:rsidR="00F959E4" w:rsidRDefault="00F959E4" w:rsidP="001624FB">
      <w:pPr>
        <w:spacing w:after="0" w:line="240" w:lineRule="auto"/>
        <w:rPr>
          <w:sz w:val="24"/>
          <w:szCs w:val="24"/>
        </w:rPr>
      </w:pPr>
    </w:p>
    <w:p w14:paraId="0757D562" w14:textId="561CCF37" w:rsidR="00F959E4" w:rsidRDefault="00F959E4" w:rsidP="001624FB">
      <w:pPr>
        <w:spacing w:after="0" w:line="240" w:lineRule="auto"/>
        <w:rPr>
          <w:sz w:val="24"/>
          <w:szCs w:val="24"/>
        </w:rPr>
      </w:pPr>
      <w:r w:rsidRPr="00F959E4">
        <w:rPr>
          <w:b/>
          <w:bCs/>
          <w:sz w:val="24"/>
          <w:szCs w:val="24"/>
        </w:rPr>
        <w:t>Nuevos actores introducidos con la Reforma</w:t>
      </w:r>
      <w:r>
        <w:rPr>
          <w:sz w:val="24"/>
          <w:szCs w:val="24"/>
        </w:rPr>
        <w:t>:</w:t>
      </w:r>
    </w:p>
    <w:p w14:paraId="2A465CCE" w14:textId="68630CEC" w:rsidR="00F959E4" w:rsidRDefault="00F959E4" w:rsidP="001624FB">
      <w:pPr>
        <w:spacing w:after="0" w:line="240" w:lineRule="auto"/>
        <w:rPr>
          <w:sz w:val="24"/>
          <w:szCs w:val="24"/>
        </w:rPr>
      </w:pPr>
    </w:p>
    <w:p w14:paraId="3AF39B84" w14:textId="04DA1A27" w:rsidR="00F959E4" w:rsidRDefault="00F959E4" w:rsidP="001624FB">
      <w:pPr>
        <w:spacing w:after="0" w:line="240" w:lineRule="auto"/>
        <w:rPr>
          <w:sz w:val="24"/>
          <w:szCs w:val="24"/>
        </w:rPr>
      </w:pPr>
      <w:r>
        <w:rPr>
          <w:sz w:val="24"/>
          <w:szCs w:val="24"/>
        </w:rPr>
        <w:t>La siguiente infografía te permitirá conocer los principales fundamentos y características de la Reforma Procesal Penal.</w:t>
      </w:r>
    </w:p>
    <w:p w14:paraId="3E29EC1C" w14:textId="6953D2E0" w:rsidR="00F959E4" w:rsidRDefault="00F959E4" w:rsidP="001624FB">
      <w:pPr>
        <w:spacing w:after="0" w:line="240" w:lineRule="auto"/>
        <w:rPr>
          <w:sz w:val="24"/>
          <w:szCs w:val="24"/>
        </w:rPr>
      </w:pPr>
    </w:p>
    <w:p w14:paraId="4FCDBA02" w14:textId="2265C861" w:rsidR="00F959E4" w:rsidRDefault="00F959E4" w:rsidP="001624FB">
      <w:pPr>
        <w:spacing w:after="0" w:line="240" w:lineRule="auto"/>
        <w:rPr>
          <w:sz w:val="24"/>
          <w:szCs w:val="24"/>
        </w:rPr>
      </w:pPr>
    </w:p>
    <w:p w14:paraId="35C4E910" w14:textId="5E2DCAA6" w:rsidR="00F959E4" w:rsidRDefault="00F959E4" w:rsidP="001624FB">
      <w:pPr>
        <w:spacing w:after="0" w:line="240" w:lineRule="auto"/>
        <w:rPr>
          <w:sz w:val="24"/>
          <w:szCs w:val="24"/>
        </w:rPr>
      </w:pPr>
    </w:p>
    <w:p w14:paraId="1DC43938" w14:textId="0BD3D6F0" w:rsidR="00F959E4" w:rsidRDefault="00F959E4" w:rsidP="001624FB">
      <w:pPr>
        <w:spacing w:after="0" w:line="240" w:lineRule="auto"/>
        <w:rPr>
          <w:sz w:val="24"/>
          <w:szCs w:val="24"/>
        </w:rPr>
      </w:pPr>
    </w:p>
    <w:p w14:paraId="58E97480" w14:textId="0F273F00" w:rsidR="00F959E4" w:rsidRDefault="00F959E4" w:rsidP="001624FB">
      <w:pPr>
        <w:spacing w:after="0" w:line="240" w:lineRule="auto"/>
        <w:rPr>
          <w:sz w:val="24"/>
          <w:szCs w:val="24"/>
        </w:rPr>
      </w:pPr>
    </w:p>
    <w:p w14:paraId="6FA89713" w14:textId="31B896F5" w:rsidR="00F959E4" w:rsidRDefault="00F959E4" w:rsidP="001624FB">
      <w:pPr>
        <w:spacing w:after="0" w:line="240" w:lineRule="auto"/>
        <w:rPr>
          <w:sz w:val="24"/>
          <w:szCs w:val="24"/>
        </w:rPr>
      </w:pPr>
    </w:p>
    <w:p w14:paraId="118413F1" w14:textId="12FDBD59" w:rsidR="00F959E4" w:rsidRDefault="00F959E4" w:rsidP="001624FB">
      <w:pPr>
        <w:spacing w:after="0" w:line="240" w:lineRule="auto"/>
        <w:rPr>
          <w:sz w:val="24"/>
          <w:szCs w:val="24"/>
        </w:rPr>
      </w:pPr>
    </w:p>
    <w:p w14:paraId="2B55CD09" w14:textId="15A7939C" w:rsidR="00F959E4" w:rsidRDefault="00F959E4" w:rsidP="001624FB">
      <w:pPr>
        <w:spacing w:after="0" w:line="240" w:lineRule="auto"/>
        <w:rPr>
          <w:sz w:val="24"/>
          <w:szCs w:val="24"/>
        </w:rPr>
      </w:pPr>
    </w:p>
    <w:p w14:paraId="58D68A22" w14:textId="397E189D" w:rsidR="00F959E4" w:rsidRDefault="00F959E4" w:rsidP="001624FB">
      <w:pPr>
        <w:spacing w:after="0" w:line="240" w:lineRule="auto"/>
        <w:rPr>
          <w:sz w:val="24"/>
          <w:szCs w:val="24"/>
        </w:rPr>
      </w:pPr>
    </w:p>
    <w:p w14:paraId="358305D8" w14:textId="7E83FBE4" w:rsidR="00F959E4" w:rsidRDefault="00F959E4" w:rsidP="001624FB">
      <w:pPr>
        <w:spacing w:after="0" w:line="240" w:lineRule="auto"/>
        <w:rPr>
          <w:sz w:val="24"/>
          <w:szCs w:val="24"/>
        </w:rPr>
      </w:pPr>
    </w:p>
    <w:p w14:paraId="28636486" w14:textId="70FB5B70" w:rsidR="00F959E4" w:rsidRDefault="00F959E4" w:rsidP="001624FB">
      <w:pPr>
        <w:spacing w:after="0" w:line="240" w:lineRule="auto"/>
        <w:rPr>
          <w:sz w:val="24"/>
          <w:szCs w:val="24"/>
        </w:rPr>
      </w:pPr>
      <w:r>
        <w:rPr>
          <w:noProof/>
        </w:rPr>
        <w:lastRenderedPageBreak/>
        <w:drawing>
          <wp:inline distT="0" distB="0" distL="0" distR="0" wp14:anchorId="008068A8" wp14:editId="742956FF">
            <wp:extent cx="6189980" cy="3729990"/>
            <wp:effectExtent l="0" t="0" r="127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9980" cy="3729990"/>
                    </a:xfrm>
                    <a:prstGeom prst="rect">
                      <a:avLst/>
                    </a:prstGeom>
                  </pic:spPr>
                </pic:pic>
              </a:graphicData>
            </a:graphic>
          </wp:inline>
        </w:drawing>
      </w:r>
    </w:p>
    <w:p w14:paraId="75EFB99E" w14:textId="009D9782" w:rsidR="00F959E4" w:rsidRDefault="00F959E4" w:rsidP="001624FB">
      <w:pPr>
        <w:spacing w:after="0" w:line="240" w:lineRule="auto"/>
        <w:rPr>
          <w:sz w:val="24"/>
          <w:szCs w:val="24"/>
        </w:rPr>
      </w:pPr>
      <w:r>
        <w:rPr>
          <w:noProof/>
        </w:rPr>
        <w:drawing>
          <wp:inline distT="0" distB="0" distL="0" distR="0" wp14:anchorId="0E115A3B" wp14:editId="7B9335D3">
            <wp:extent cx="6189980" cy="404685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89980" cy="4046855"/>
                    </a:xfrm>
                    <a:prstGeom prst="rect">
                      <a:avLst/>
                    </a:prstGeom>
                  </pic:spPr>
                </pic:pic>
              </a:graphicData>
            </a:graphic>
          </wp:inline>
        </w:drawing>
      </w:r>
    </w:p>
    <w:p w14:paraId="38C9FACB" w14:textId="37A709CD" w:rsidR="00E51AEC" w:rsidRDefault="00E51AEC" w:rsidP="001624FB">
      <w:pPr>
        <w:spacing w:after="0" w:line="240" w:lineRule="auto"/>
        <w:rPr>
          <w:sz w:val="24"/>
          <w:szCs w:val="24"/>
        </w:rPr>
      </w:pPr>
    </w:p>
    <w:p w14:paraId="1E2FCA6D" w14:textId="588AAD2E" w:rsidR="00E51AEC" w:rsidRDefault="00E51AEC" w:rsidP="001624FB">
      <w:pPr>
        <w:spacing w:after="0" w:line="240" w:lineRule="auto"/>
        <w:rPr>
          <w:sz w:val="24"/>
          <w:szCs w:val="24"/>
        </w:rPr>
      </w:pPr>
      <w:r w:rsidRPr="00E51AEC">
        <w:rPr>
          <w:b/>
          <w:bCs/>
          <w:sz w:val="24"/>
          <w:szCs w:val="24"/>
        </w:rPr>
        <w:t>Actividades</w:t>
      </w:r>
      <w:r>
        <w:rPr>
          <w:sz w:val="24"/>
          <w:szCs w:val="24"/>
        </w:rPr>
        <w:t>: Responde en tu cuaderno</w:t>
      </w:r>
    </w:p>
    <w:p w14:paraId="7FD81D30" w14:textId="4032AC5A" w:rsidR="00E51AEC" w:rsidRDefault="00E51AEC" w:rsidP="001624FB">
      <w:pPr>
        <w:spacing w:after="0" w:line="240" w:lineRule="auto"/>
        <w:rPr>
          <w:sz w:val="24"/>
          <w:szCs w:val="24"/>
        </w:rPr>
      </w:pPr>
      <w:r>
        <w:rPr>
          <w:sz w:val="24"/>
          <w:szCs w:val="24"/>
        </w:rPr>
        <w:t>1.</w:t>
      </w:r>
      <w:proofErr w:type="gramStart"/>
      <w:r>
        <w:rPr>
          <w:sz w:val="24"/>
          <w:szCs w:val="24"/>
        </w:rPr>
        <w:t>-¿</w:t>
      </w:r>
      <w:proofErr w:type="gramEnd"/>
      <w:r>
        <w:rPr>
          <w:sz w:val="24"/>
          <w:szCs w:val="24"/>
        </w:rPr>
        <w:t>Cuáles fueron las razones para cambiar el procedimiento penal?</w:t>
      </w:r>
    </w:p>
    <w:p w14:paraId="730AC232" w14:textId="7EC8FFA2" w:rsidR="00E51AEC" w:rsidRDefault="00E51AEC" w:rsidP="001624FB">
      <w:pPr>
        <w:spacing w:after="0" w:line="240" w:lineRule="auto"/>
        <w:rPr>
          <w:sz w:val="24"/>
          <w:szCs w:val="24"/>
        </w:rPr>
      </w:pPr>
    </w:p>
    <w:p w14:paraId="0003D348" w14:textId="23B00BEF" w:rsidR="00E51AEC" w:rsidRDefault="00E51AEC" w:rsidP="001624FB">
      <w:pPr>
        <w:spacing w:after="0" w:line="240" w:lineRule="auto"/>
        <w:rPr>
          <w:sz w:val="24"/>
          <w:szCs w:val="24"/>
        </w:rPr>
      </w:pPr>
      <w:r>
        <w:rPr>
          <w:sz w:val="24"/>
          <w:szCs w:val="24"/>
        </w:rPr>
        <w:t>2.</w:t>
      </w:r>
      <w:proofErr w:type="gramStart"/>
      <w:r>
        <w:rPr>
          <w:sz w:val="24"/>
          <w:szCs w:val="24"/>
        </w:rPr>
        <w:t>-¿</w:t>
      </w:r>
      <w:proofErr w:type="gramEnd"/>
      <w:r>
        <w:rPr>
          <w:sz w:val="24"/>
          <w:szCs w:val="24"/>
        </w:rPr>
        <w:t>En qué consiste la Reforma Procesal Penal?¿Cuál es su diferencia con el antiguo procedimiento penal?</w:t>
      </w:r>
    </w:p>
    <w:p w14:paraId="33C69F19" w14:textId="65D262AA" w:rsidR="00E51AEC" w:rsidRDefault="00E51AEC" w:rsidP="001624FB">
      <w:pPr>
        <w:spacing w:after="0" w:line="240" w:lineRule="auto"/>
        <w:rPr>
          <w:sz w:val="24"/>
          <w:szCs w:val="24"/>
        </w:rPr>
      </w:pPr>
    </w:p>
    <w:p w14:paraId="531FF2C4" w14:textId="6EB04DB4" w:rsidR="00E51AEC" w:rsidRDefault="00E51AEC" w:rsidP="001624FB">
      <w:pPr>
        <w:spacing w:after="0" w:line="240" w:lineRule="auto"/>
        <w:rPr>
          <w:sz w:val="24"/>
          <w:szCs w:val="24"/>
        </w:rPr>
      </w:pPr>
      <w:r>
        <w:rPr>
          <w:sz w:val="24"/>
          <w:szCs w:val="24"/>
        </w:rPr>
        <w:t>3.-Sobre la Responsabilidad Penal Juvenil: ¿Cuál es su origen y en qué consiste? ¿A quiénes afecta?</w:t>
      </w:r>
    </w:p>
    <w:p w14:paraId="55917134" w14:textId="672D3948" w:rsidR="00E51AEC" w:rsidRPr="00764351" w:rsidRDefault="00E51AEC" w:rsidP="001624FB">
      <w:pPr>
        <w:spacing w:after="0" w:line="240" w:lineRule="auto"/>
        <w:rPr>
          <w:sz w:val="24"/>
          <w:szCs w:val="24"/>
        </w:rPr>
      </w:pPr>
      <w:r>
        <w:rPr>
          <w:sz w:val="24"/>
          <w:szCs w:val="24"/>
        </w:rPr>
        <w:t>¿Cuáles son las sanciones que reciben?</w:t>
      </w:r>
    </w:p>
    <w:sectPr w:rsidR="00E51AEC" w:rsidRPr="00764351" w:rsidSect="00764351">
      <w:pgSz w:w="12242" w:h="19562" w:code="5"/>
      <w:pgMar w:top="1304" w:right="1247" w:bottom="1304"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B21"/>
    <w:rsid w:val="000A5011"/>
    <w:rsid w:val="00136D07"/>
    <w:rsid w:val="001624FB"/>
    <w:rsid w:val="007561FD"/>
    <w:rsid w:val="00764351"/>
    <w:rsid w:val="0091616C"/>
    <w:rsid w:val="00BF4E56"/>
    <w:rsid w:val="00E51AEC"/>
    <w:rsid w:val="00F959E4"/>
    <w:rsid w:val="00FD3B2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1B35E"/>
  <w15:chartTrackingRefBased/>
  <w15:docId w15:val="{59BB8E14-F5F7-4AB2-B24E-19FC7B731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764351"/>
    <w:pPr>
      <w:widowControl w:val="0"/>
      <w:autoSpaceDE w:val="0"/>
      <w:autoSpaceDN w:val="0"/>
      <w:spacing w:after="0" w:line="240" w:lineRule="auto"/>
      <w:ind w:left="170"/>
      <w:outlineLvl w:val="0"/>
    </w:pPr>
    <w:rPr>
      <w:rFonts w:ascii="Arial" w:eastAsia="Arial" w:hAnsi="Arial" w:cs="Arial"/>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BF4E56"/>
    <w:pPr>
      <w:widowControl w:val="0"/>
      <w:autoSpaceDE w:val="0"/>
      <w:autoSpaceDN w:val="0"/>
      <w:spacing w:after="0" w:line="240" w:lineRule="auto"/>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BF4E56"/>
    <w:rPr>
      <w:rFonts w:ascii="Arial MT" w:eastAsia="Arial MT" w:hAnsi="Arial MT" w:cs="Arial MT"/>
      <w:lang w:val="es-ES"/>
    </w:rPr>
  </w:style>
  <w:style w:type="paragraph" w:styleId="Ttulo">
    <w:name w:val="Title"/>
    <w:basedOn w:val="Normal"/>
    <w:link w:val="TtuloCar"/>
    <w:uiPriority w:val="10"/>
    <w:qFormat/>
    <w:rsid w:val="00BF4E56"/>
    <w:pPr>
      <w:widowControl w:val="0"/>
      <w:autoSpaceDE w:val="0"/>
      <w:autoSpaceDN w:val="0"/>
      <w:spacing w:after="0" w:line="240" w:lineRule="auto"/>
      <w:ind w:right="4088"/>
      <w:jc w:val="right"/>
    </w:pPr>
    <w:rPr>
      <w:rFonts w:ascii="Arial MT" w:eastAsia="Arial MT" w:hAnsi="Arial MT" w:cs="Arial MT"/>
      <w:sz w:val="24"/>
      <w:szCs w:val="24"/>
      <w:lang w:val="es-ES"/>
    </w:rPr>
  </w:style>
  <w:style w:type="character" w:customStyle="1" w:styleId="TtuloCar">
    <w:name w:val="Título Car"/>
    <w:basedOn w:val="Fuentedeprrafopredeter"/>
    <w:link w:val="Ttulo"/>
    <w:uiPriority w:val="10"/>
    <w:rsid w:val="00BF4E56"/>
    <w:rPr>
      <w:rFonts w:ascii="Arial MT" w:eastAsia="Arial MT" w:hAnsi="Arial MT" w:cs="Arial MT"/>
      <w:sz w:val="24"/>
      <w:szCs w:val="24"/>
      <w:lang w:val="es-ES"/>
    </w:rPr>
  </w:style>
  <w:style w:type="paragraph" w:customStyle="1" w:styleId="Default">
    <w:name w:val="Default"/>
    <w:rsid w:val="00136D07"/>
    <w:pPr>
      <w:autoSpaceDE w:val="0"/>
      <w:autoSpaceDN w:val="0"/>
      <w:adjustRightInd w:val="0"/>
      <w:spacing w:after="0" w:line="240" w:lineRule="auto"/>
    </w:pPr>
    <w:rPr>
      <w:rFonts w:ascii="Calibri" w:hAnsi="Calibri" w:cs="Calibri"/>
      <w:color w:val="000000"/>
      <w:sz w:val="24"/>
      <w:szCs w:val="24"/>
    </w:rPr>
  </w:style>
  <w:style w:type="character" w:customStyle="1" w:styleId="Ttulo1Car">
    <w:name w:val="Título 1 Car"/>
    <w:basedOn w:val="Fuentedeprrafopredeter"/>
    <w:link w:val="Ttulo1"/>
    <w:uiPriority w:val="9"/>
    <w:rsid w:val="00764351"/>
    <w:rPr>
      <w:rFonts w:ascii="Arial" w:eastAsia="Arial" w:hAnsi="Arial" w:cs="Arial"/>
      <w:b/>
      <w:bCs/>
      <w:lang w:val="es-ES"/>
    </w:rPr>
  </w:style>
  <w:style w:type="table" w:customStyle="1" w:styleId="TableNormal">
    <w:name w:val="Table Normal"/>
    <w:uiPriority w:val="2"/>
    <w:semiHidden/>
    <w:unhideWhenUsed/>
    <w:qFormat/>
    <w:rsid w:val="007643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png"/><Relationship Id="rId5" Type="http://schemas.microsoft.com/office/2007/relationships/hdphoto" Target="media/hdphoto1.wdp"/><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4</Pages>
  <Words>737</Words>
  <Characters>4055</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etna vivar</dc:creator>
  <cp:keywords/>
  <dc:description/>
  <cp:lastModifiedBy>etna vivar</cp:lastModifiedBy>
  <cp:revision>4</cp:revision>
  <dcterms:created xsi:type="dcterms:W3CDTF">2021-09-05T01:24:00Z</dcterms:created>
  <dcterms:modified xsi:type="dcterms:W3CDTF">2021-09-05T02:45:00Z</dcterms:modified>
</cp:coreProperties>
</file>