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42" w:rsidRDefault="00B3471F" w:rsidP="00F84442">
      <w:pPr>
        <w:ind w:firstLine="708"/>
        <w:jc w:val="both"/>
        <w:rPr>
          <w:iCs/>
          <w:sz w:val="20"/>
          <w:szCs w:val="20"/>
        </w:rPr>
      </w:pPr>
      <w:r>
        <w:rPr>
          <w:noProof/>
          <w:sz w:val="22"/>
          <w:szCs w:val="22"/>
          <w:lang w:val="en-US" w:eastAsia="en-US"/>
        </w:rPr>
        <w:drawing>
          <wp:anchor distT="0" distB="0" distL="114300" distR="114300" simplePos="0" relativeHeight="251659264" behindDoc="0" locked="0" layoutInCell="1" allowOverlap="1" wp14:anchorId="528FCA8D" wp14:editId="715A7556">
            <wp:simplePos x="0" y="0"/>
            <wp:positionH relativeFrom="column">
              <wp:posOffset>30480</wp:posOffset>
            </wp:positionH>
            <wp:positionV relativeFrom="paragraph">
              <wp:posOffset>-405130</wp:posOffset>
            </wp:positionV>
            <wp:extent cx="609600" cy="685800"/>
            <wp:effectExtent l="19050" t="0" r="0" b="0"/>
            <wp:wrapNone/>
            <wp:docPr id="3" name="Imagen 3" descr="escu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0"/>
                    <pic:cNvPicPr>
                      <a:picLocks noChangeAspect="1" noChangeArrowheads="1"/>
                    </pic:cNvPicPr>
                  </pic:nvPicPr>
                  <pic:blipFill>
                    <a:blip r:embed="rId5" cstate="print">
                      <a:lum bright="6000" contrast="30000"/>
                    </a:blip>
                    <a:srcRect/>
                    <a:stretch>
                      <a:fillRect/>
                    </a:stretch>
                  </pic:blipFill>
                  <pic:spPr bwMode="auto">
                    <a:xfrm>
                      <a:off x="0" y="0"/>
                      <a:ext cx="609600" cy="685800"/>
                    </a:xfrm>
                    <a:prstGeom prst="rect">
                      <a:avLst/>
                    </a:prstGeom>
                    <a:noFill/>
                  </pic:spPr>
                </pic:pic>
              </a:graphicData>
            </a:graphic>
          </wp:anchor>
        </w:drawing>
      </w:r>
    </w:p>
    <w:p w:rsidR="008F4B17" w:rsidRPr="00B557C0" w:rsidRDefault="008F4B17" w:rsidP="008F4B17">
      <w:pPr>
        <w:pStyle w:val="Ttulo1"/>
        <w:ind w:right="406"/>
        <w:rPr>
          <w:sz w:val="22"/>
          <w:szCs w:val="22"/>
        </w:rPr>
      </w:pPr>
      <w:r w:rsidRPr="00B557C0">
        <w:rPr>
          <w:rFonts w:ascii="Monotype Corsiva" w:hAnsi="Monotype Corsiva"/>
          <w:sz w:val="22"/>
          <w:szCs w:val="22"/>
        </w:rPr>
        <w:t>Abraham Lincoln School</w:t>
      </w:r>
    </w:p>
    <w:p w:rsidR="008F4B17" w:rsidRPr="00B557C0" w:rsidRDefault="008F4B17" w:rsidP="008F4B17">
      <w:pPr>
        <w:ind w:right="406"/>
        <w:jc w:val="both"/>
        <w:rPr>
          <w:rFonts w:ascii="Monotype Corsiva" w:hAnsi="Monotype Corsiva"/>
          <w:b/>
          <w:i/>
          <w:sz w:val="22"/>
          <w:szCs w:val="22"/>
        </w:rPr>
      </w:pPr>
      <w:r w:rsidRPr="00B557C0">
        <w:rPr>
          <w:b/>
          <w:i/>
          <w:sz w:val="22"/>
          <w:szCs w:val="22"/>
        </w:rPr>
        <w:t xml:space="preserve"> </w:t>
      </w:r>
      <w:r w:rsidRPr="00B557C0">
        <w:rPr>
          <w:sz w:val="22"/>
          <w:szCs w:val="22"/>
          <w:lang w:val="es-ES"/>
        </w:rPr>
        <w:t xml:space="preserve">          </w:t>
      </w:r>
      <w:r>
        <w:rPr>
          <w:sz w:val="22"/>
          <w:szCs w:val="22"/>
          <w:lang w:val="es-ES"/>
        </w:rPr>
        <w:t xml:space="preserve">  </w:t>
      </w:r>
      <w:r w:rsidRPr="00B557C0">
        <w:rPr>
          <w:rFonts w:ascii="Monotype Corsiva" w:hAnsi="Monotype Corsiva"/>
          <w:b/>
          <w:i/>
          <w:sz w:val="22"/>
          <w:szCs w:val="22"/>
        </w:rPr>
        <w:t>Arica</w:t>
      </w:r>
    </w:p>
    <w:p w:rsidR="008F4B17" w:rsidRDefault="008F4B17" w:rsidP="008F4B17">
      <w:pPr>
        <w:jc w:val="center"/>
        <w:rPr>
          <w:b/>
          <w:sz w:val="28"/>
          <w:szCs w:val="28"/>
        </w:rPr>
      </w:pPr>
    </w:p>
    <w:p w:rsidR="008F4B17" w:rsidRPr="00A35149" w:rsidRDefault="008F4B17" w:rsidP="008F4B17">
      <w:pPr>
        <w:jc w:val="both"/>
        <w:rPr>
          <w:sz w:val="20"/>
          <w:szCs w:val="20"/>
        </w:rPr>
      </w:pPr>
      <w:r>
        <w:rPr>
          <w:sz w:val="20"/>
          <w:szCs w:val="20"/>
        </w:rPr>
        <w:t>ANEXO REGLAMENTO DE CONVIVENCIA ESCOLAR</w:t>
      </w:r>
    </w:p>
    <w:p w:rsidR="008F4B17" w:rsidRDefault="008F4B17" w:rsidP="008F4B17">
      <w:pPr>
        <w:jc w:val="center"/>
        <w:rPr>
          <w:b/>
          <w:sz w:val="28"/>
          <w:szCs w:val="28"/>
        </w:rPr>
      </w:pPr>
    </w:p>
    <w:p w:rsidR="008F4B17" w:rsidRPr="009105F4" w:rsidRDefault="008F4B17" w:rsidP="008F4B17">
      <w:pPr>
        <w:rPr>
          <w:b/>
          <w:sz w:val="20"/>
          <w:szCs w:val="20"/>
        </w:rPr>
      </w:pPr>
      <w:r w:rsidRPr="009105F4">
        <w:rPr>
          <w:b/>
          <w:sz w:val="20"/>
          <w:szCs w:val="20"/>
        </w:rPr>
        <w:t xml:space="preserve">PROTOCOLO ANTE </w:t>
      </w:r>
      <w:r>
        <w:rPr>
          <w:b/>
          <w:sz w:val="20"/>
          <w:szCs w:val="20"/>
        </w:rPr>
        <w:t>HECHO O SOSPECHA DE ABUSO SEXUAL</w:t>
      </w:r>
    </w:p>
    <w:p w:rsidR="00F84442" w:rsidRDefault="00F84442" w:rsidP="008F4B17">
      <w:pPr>
        <w:jc w:val="both"/>
        <w:rPr>
          <w:iCs/>
          <w:sz w:val="20"/>
          <w:szCs w:val="20"/>
        </w:rPr>
      </w:pPr>
    </w:p>
    <w:p w:rsidR="00F84442" w:rsidRPr="0032012A" w:rsidRDefault="00F84442" w:rsidP="00F84442">
      <w:pPr>
        <w:numPr>
          <w:ilvl w:val="0"/>
          <w:numId w:val="1"/>
        </w:numPr>
        <w:jc w:val="both"/>
        <w:rPr>
          <w:iCs/>
          <w:sz w:val="20"/>
          <w:szCs w:val="20"/>
          <w:u w:val="single"/>
        </w:rPr>
      </w:pPr>
      <w:r w:rsidRPr="0032012A">
        <w:rPr>
          <w:iCs/>
          <w:sz w:val="20"/>
          <w:szCs w:val="20"/>
          <w:u w:val="single"/>
        </w:rPr>
        <w:t>Formalidad de la denuncia</w:t>
      </w:r>
    </w:p>
    <w:p w:rsidR="00F84442" w:rsidRDefault="00F84442" w:rsidP="00F84442">
      <w:pPr>
        <w:ind w:left="720"/>
        <w:jc w:val="both"/>
        <w:rPr>
          <w:iCs/>
          <w:sz w:val="20"/>
          <w:szCs w:val="20"/>
        </w:rPr>
      </w:pPr>
      <w:r>
        <w:rPr>
          <w:iCs/>
          <w:sz w:val="20"/>
          <w:szCs w:val="20"/>
        </w:rPr>
        <w:t>Toda denuncia de actos que afecten la integridad de los alumnos, debe ser efectuada por escrito, y esa denuncia interna debe ser tramitada bajo reserva. En todo caso la denuncia debe señalar claramente quien o quienes serían los hechores, la fecha, si se sabe, demás circunstancias. Si el hecho se produjo fuera del colegio sería conveniente especificar si se hizo una denuncia en fiscalía, en carabineros o en otra autoridad.</w:t>
      </w:r>
    </w:p>
    <w:p w:rsidR="00F84442" w:rsidRDefault="00F84442" w:rsidP="00F84442">
      <w:pPr>
        <w:jc w:val="both"/>
        <w:rPr>
          <w:iCs/>
          <w:sz w:val="20"/>
          <w:szCs w:val="20"/>
        </w:rPr>
      </w:pPr>
    </w:p>
    <w:p w:rsidR="00F84442" w:rsidRDefault="00F84442" w:rsidP="00F84442">
      <w:pPr>
        <w:numPr>
          <w:ilvl w:val="0"/>
          <w:numId w:val="2"/>
        </w:numPr>
        <w:jc w:val="both"/>
        <w:rPr>
          <w:iCs/>
          <w:sz w:val="20"/>
          <w:szCs w:val="20"/>
        </w:rPr>
      </w:pPr>
      <w:r>
        <w:rPr>
          <w:iCs/>
          <w:sz w:val="20"/>
          <w:szCs w:val="20"/>
        </w:rPr>
        <w:t>No se pueden admitir denuncias que no se realicen por escrito.</w:t>
      </w:r>
    </w:p>
    <w:p w:rsidR="00F84442" w:rsidRDefault="00F84442" w:rsidP="00F84442">
      <w:pPr>
        <w:numPr>
          <w:ilvl w:val="0"/>
          <w:numId w:val="2"/>
        </w:numPr>
        <w:jc w:val="both"/>
        <w:rPr>
          <w:iCs/>
          <w:sz w:val="20"/>
          <w:szCs w:val="20"/>
        </w:rPr>
      </w:pPr>
      <w:r>
        <w:rPr>
          <w:iCs/>
          <w:sz w:val="20"/>
          <w:szCs w:val="20"/>
        </w:rPr>
        <w:t>En caso de denuncia a personal eclesiástico católico, este tiene las siguientes características:</w:t>
      </w:r>
    </w:p>
    <w:p w:rsidR="00F84442" w:rsidRDefault="00F84442" w:rsidP="00F84442">
      <w:pPr>
        <w:ind w:left="720"/>
        <w:jc w:val="both"/>
        <w:rPr>
          <w:iCs/>
          <w:sz w:val="20"/>
          <w:szCs w:val="20"/>
        </w:rPr>
      </w:pPr>
      <w:r>
        <w:rPr>
          <w:iCs/>
          <w:sz w:val="20"/>
          <w:szCs w:val="20"/>
        </w:rPr>
        <w:t xml:space="preserve">Este proceso está regulado en los cánones </w:t>
      </w:r>
      <w:smartTag w:uri="urn:schemas-microsoft-com:office:smarttags" w:element="metricconverter">
        <w:smartTagPr>
          <w:attr w:name="ProductID" w:val="1717 a"/>
        </w:smartTagPr>
        <w:r w:rsidRPr="003D0E99">
          <w:rPr>
            <w:b/>
            <w:iCs/>
            <w:sz w:val="20"/>
            <w:szCs w:val="20"/>
          </w:rPr>
          <w:t>1717 a</w:t>
        </w:r>
      </w:smartTag>
      <w:r w:rsidRPr="003D0E99">
        <w:rPr>
          <w:b/>
          <w:iCs/>
          <w:sz w:val="20"/>
          <w:szCs w:val="20"/>
        </w:rPr>
        <w:t xml:space="preserve"> 1719</w:t>
      </w:r>
      <w:r>
        <w:rPr>
          <w:iCs/>
          <w:sz w:val="20"/>
          <w:szCs w:val="20"/>
        </w:rPr>
        <w:t xml:space="preserve"> del Código de Derecho Canónico.</w:t>
      </w:r>
    </w:p>
    <w:p w:rsidR="009F5988" w:rsidRDefault="00F84442" w:rsidP="00F84442">
      <w:pPr>
        <w:ind w:left="720"/>
        <w:jc w:val="both"/>
        <w:rPr>
          <w:i/>
          <w:iCs/>
          <w:sz w:val="20"/>
          <w:szCs w:val="20"/>
        </w:rPr>
      </w:pPr>
      <w:r w:rsidRPr="003D0E99">
        <w:rPr>
          <w:i/>
          <w:iCs/>
          <w:sz w:val="20"/>
          <w:szCs w:val="20"/>
        </w:rPr>
        <w:t xml:space="preserve"> </w:t>
      </w:r>
    </w:p>
    <w:p w:rsidR="00F84442" w:rsidRPr="003D0E99" w:rsidRDefault="009F5988" w:rsidP="00F84442">
      <w:pPr>
        <w:ind w:left="720"/>
        <w:jc w:val="both"/>
        <w:rPr>
          <w:i/>
          <w:iCs/>
          <w:sz w:val="20"/>
          <w:szCs w:val="20"/>
        </w:rPr>
      </w:pPr>
      <w:r w:rsidRPr="009F5988">
        <w:rPr>
          <w:b/>
          <w:i/>
          <w:iCs/>
          <w:sz w:val="20"/>
          <w:szCs w:val="20"/>
        </w:rPr>
        <w:t>1717</w:t>
      </w:r>
      <w:r>
        <w:rPr>
          <w:i/>
          <w:iCs/>
          <w:sz w:val="20"/>
          <w:szCs w:val="20"/>
        </w:rPr>
        <w:t xml:space="preserve"> 1° </w:t>
      </w:r>
      <w:r w:rsidR="00F84442" w:rsidRPr="003D0E99">
        <w:rPr>
          <w:i/>
          <w:iCs/>
          <w:sz w:val="20"/>
          <w:szCs w:val="20"/>
        </w:rPr>
        <w:t xml:space="preserve">Siempre que el Ordinario tenga noticia, al menos verosímil, de un delito, debe investigar con cautela, personalmente o por medio de una persona idónea, sobre los hechos y sus </w:t>
      </w:r>
      <w:r w:rsidR="00894670" w:rsidRPr="003D0E99">
        <w:rPr>
          <w:i/>
          <w:iCs/>
          <w:sz w:val="20"/>
          <w:szCs w:val="20"/>
        </w:rPr>
        <w:t>circunstancias,</w:t>
      </w:r>
      <w:r w:rsidR="00F84442" w:rsidRPr="003D0E99">
        <w:rPr>
          <w:i/>
          <w:iCs/>
          <w:sz w:val="20"/>
          <w:szCs w:val="20"/>
        </w:rPr>
        <w:t xml:space="preserve"> así como sobre la imputabilidad, a no ser que esta investigación parezca del todo superflua.</w:t>
      </w:r>
    </w:p>
    <w:p w:rsidR="00F84442" w:rsidRPr="003D0E99" w:rsidRDefault="00F84442" w:rsidP="00F84442">
      <w:pPr>
        <w:ind w:left="720"/>
        <w:jc w:val="both"/>
        <w:rPr>
          <w:i/>
          <w:iCs/>
          <w:sz w:val="20"/>
          <w:szCs w:val="20"/>
        </w:rPr>
      </w:pPr>
    </w:p>
    <w:p w:rsidR="00F84442" w:rsidRPr="003D0E99" w:rsidRDefault="009F5988" w:rsidP="00F84442">
      <w:pPr>
        <w:ind w:left="720"/>
        <w:jc w:val="both"/>
        <w:rPr>
          <w:i/>
          <w:iCs/>
          <w:sz w:val="20"/>
          <w:szCs w:val="20"/>
        </w:rPr>
      </w:pPr>
      <w:r>
        <w:rPr>
          <w:i/>
          <w:iCs/>
          <w:sz w:val="20"/>
          <w:szCs w:val="20"/>
        </w:rPr>
        <w:t xml:space="preserve">2° </w:t>
      </w:r>
      <w:r w:rsidR="00F84442" w:rsidRPr="003D0E99">
        <w:rPr>
          <w:i/>
          <w:iCs/>
          <w:sz w:val="20"/>
          <w:szCs w:val="20"/>
        </w:rPr>
        <w:t>Hay que evitar que, por esta investigación, se ponga en peligro la buena fama de alguien.</w:t>
      </w:r>
    </w:p>
    <w:p w:rsidR="00F84442" w:rsidRPr="003D0E99" w:rsidRDefault="00F84442" w:rsidP="00F84442">
      <w:pPr>
        <w:ind w:left="720"/>
        <w:jc w:val="both"/>
        <w:rPr>
          <w:i/>
          <w:iCs/>
          <w:sz w:val="20"/>
          <w:szCs w:val="20"/>
        </w:rPr>
      </w:pPr>
    </w:p>
    <w:p w:rsidR="00F84442" w:rsidRPr="003D0E99" w:rsidRDefault="009F5988" w:rsidP="00F84442">
      <w:pPr>
        <w:ind w:left="720"/>
        <w:jc w:val="both"/>
        <w:rPr>
          <w:i/>
          <w:iCs/>
          <w:sz w:val="20"/>
          <w:szCs w:val="20"/>
        </w:rPr>
      </w:pPr>
      <w:r>
        <w:rPr>
          <w:i/>
          <w:iCs/>
          <w:sz w:val="20"/>
          <w:szCs w:val="20"/>
        </w:rPr>
        <w:t xml:space="preserve">3° </w:t>
      </w:r>
      <w:r w:rsidR="00F84442" w:rsidRPr="003D0E99">
        <w:rPr>
          <w:i/>
          <w:iCs/>
          <w:sz w:val="20"/>
          <w:szCs w:val="20"/>
        </w:rPr>
        <w:t>Quién realiza la investigación tiene los mismos poderes e idénticas obligaciones que el auditor en un proceso; y, si se realiza después un proceso judicial, no puede desempeñar en el él la función de juez.</w:t>
      </w:r>
    </w:p>
    <w:p w:rsidR="00F84442" w:rsidRPr="003D0E99" w:rsidRDefault="00F84442" w:rsidP="00F84442">
      <w:pPr>
        <w:ind w:left="720"/>
        <w:jc w:val="both"/>
        <w:rPr>
          <w:i/>
          <w:iCs/>
          <w:sz w:val="20"/>
          <w:szCs w:val="20"/>
        </w:rPr>
      </w:pPr>
    </w:p>
    <w:p w:rsidR="00F84442" w:rsidRPr="003D0E99" w:rsidRDefault="00F84442" w:rsidP="00F84442">
      <w:pPr>
        <w:ind w:left="720"/>
        <w:jc w:val="both"/>
        <w:rPr>
          <w:i/>
          <w:iCs/>
          <w:sz w:val="20"/>
          <w:szCs w:val="20"/>
        </w:rPr>
      </w:pPr>
      <w:r w:rsidRPr="003D0E99">
        <w:rPr>
          <w:b/>
          <w:i/>
          <w:iCs/>
          <w:sz w:val="20"/>
          <w:szCs w:val="20"/>
        </w:rPr>
        <w:t>1718</w:t>
      </w:r>
      <w:r w:rsidR="009F5988">
        <w:rPr>
          <w:i/>
          <w:iCs/>
          <w:sz w:val="20"/>
          <w:szCs w:val="20"/>
        </w:rPr>
        <w:t xml:space="preserve"> 1°</w:t>
      </w:r>
      <w:r w:rsidRPr="003D0E99">
        <w:rPr>
          <w:i/>
          <w:iCs/>
          <w:sz w:val="20"/>
          <w:szCs w:val="20"/>
        </w:rPr>
        <w:t xml:space="preserve"> Cuando se estime que ya se han reunido elementos suficientes, determine el Ordinario:</w:t>
      </w:r>
    </w:p>
    <w:p w:rsidR="00F84442" w:rsidRPr="003D0E99" w:rsidRDefault="00F84442" w:rsidP="00F84442">
      <w:pPr>
        <w:ind w:left="720"/>
        <w:jc w:val="both"/>
        <w:rPr>
          <w:i/>
          <w:iCs/>
          <w:sz w:val="20"/>
          <w:szCs w:val="20"/>
        </w:rPr>
      </w:pPr>
      <w:r w:rsidRPr="003D0E99">
        <w:rPr>
          <w:i/>
          <w:iCs/>
          <w:sz w:val="20"/>
          <w:szCs w:val="20"/>
        </w:rPr>
        <w:t>1 si puede ponerse en marcha el proceso para infligir o declarar una pena;</w:t>
      </w:r>
    </w:p>
    <w:p w:rsidR="00F84442" w:rsidRPr="003D0E99" w:rsidRDefault="00F84442" w:rsidP="00F84442">
      <w:pPr>
        <w:ind w:left="720"/>
        <w:jc w:val="both"/>
        <w:rPr>
          <w:i/>
          <w:iCs/>
          <w:sz w:val="20"/>
          <w:szCs w:val="20"/>
        </w:rPr>
      </w:pPr>
      <w:r w:rsidRPr="003D0E99">
        <w:rPr>
          <w:i/>
          <w:iCs/>
          <w:sz w:val="20"/>
          <w:szCs w:val="20"/>
        </w:rPr>
        <w:t>2 si conviene hacerlo así, teniendo presente el c.1341;</w:t>
      </w:r>
    </w:p>
    <w:p w:rsidR="00F84442" w:rsidRPr="003D0E99" w:rsidRDefault="00F84442" w:rsidP="00F84442">
      <w:pPr>
        <w:ind w:left="720"/>
        <w:jc w:val="both"/>
        <w:rPr>
          <w:i/>
          <w:iCs/>
          <w:sz w:val="20"/>
          <w:szCs w:val="20"/>
        </w:rPr>
      </w:pPr>
      <w:r w:rsidRPr="003D0E99">
        <w:rPr>
          <w:i/>
          <w:iCs/>
          <w:sz w:val="20"/>
          <w:szCs w:val="20"/>
        </w:rPr>
        <w:t>3 si debe utilizarse el proceso judicial o, cuando la ley no lo prohíbe, se ha de proceder por decreto extrajudicial.</w:t>
      </w:r>
    </w:p>
    <w:p w:rsidR="00F84442" w:rsidRPr="003D0E99" w:rsidRDefault="00F84442" w:rsidP="00F84442">
      <w:pPr>
        <w:ind w:left="720"/>
        <w:jc w:val="both"/>
        <w:rPr>
          <w:i/>
          <w:iCs/>
          <w:sz w:val="20"/>
          <w:szCs w:val="20"/>
        </w:rPr>
      </w:pPr>
    </w:p>
    <w:p w:rsidR="00F84442" w:rsidRPr="003D0E99" w:rsidRDefault="009F5988" w:rsidP="00F84442">
      <w:pPr>
        <w:ind w:left="720"/>
        <w:jc w:val="both"/>
        <w:rPr>
          <w:i/>
          <w:iCs/>
          <w:sz w:val="20"/>
          <w:szCs w:val="20"/>
        </w:rPr>
      </w:pPr>
      <w:r>
        <w:rPr>
          <w:i/>
          <w:iCs/>
          <w:sz w:val="20"/>
          <w:szCs w:val="20"/>
        </w:rPr>
        <w:t xml:space="preserve">2° </w:t>
      </w:r>
      <w:r w:rsidR="00F84442" w:rsidRPr="003D0E99">
        <w:rPr>
          <w:i/>
          <w:iCs/>
          <w:sz w:val="20"/>
          <w:szCs w:val="20"/>
        </w:rPr>
        <w:t>El Ordinario ha de revocar o modificar el decreto a que se refiere el °1, siempre que, por surgir elementos nuevos, le parezca que debe decidir otra cosa.</w:t>
      </w:r>
    </w:p>
    <w:p w:rsidR="00F84442" w:rsidRPr="003D0E99" w:rsidRDefault="00F84442" w:rsidP="00F84442">
      <w:pPr>
        <w:ind w:left="720"/>
        <w:jc w:val="both"/>
        <w:rPr>
          <w:i/>
          <w:iCs/>
          <w:sz w:val="20"/>
          <w:szCs w:val="20"/>
        </w:rPr>
      </w:pPr>
    </w:p>
    <w:p w:rsidR="00F84442" w:rsidRPr="003D0E99" w:rsidRDefault="009F5988" w:rsidP="00F84442">
      <w:pPr>
        <w:ind w:left="720"/>
        <w:jc w:val="both"/>
        <w:rPr>
          <w:i/>
          <w:iCs/>
          <w:sz w:val="20"/>
          <w:szCs w:val="20"/>
        </w:rPr>
      </w:pPr>
      <w:r>
        <w:rPr>
          <w:i/>
          <w:iCs/>
          <w:sz w:val="20"/>
          <w:szCs w:val="20"/>
        </w:rPr>
        <w:t xml:space="preserve">3° </w:t>
      </w:r>
      <w:r w:rsidR="00F84442" w:rsidRPr="003D0E99">
        <w:rPr>
          <w:i/>
          <w:iCs/>
          <w:sz w:val="20"/>
          <w:szCs w:val="20"/>
        </w:rPr>
        <w:t>Al dar los d</w:t>
      </w:r>
      <w:r>
        <w:rPr>
          <w:i/>
          <w:iCs/>
          <w:sz w:val="20"/>
          <w:szCs w:val="20"/>
        </w:rPr>
        <w:t>ecretos a que se refieren en</w:t>
      </w:r>
      <w:r w:rsidR="00F84442" w:rsidRPr="003D0E99">
        <w:rPr>
          <w:i/>
          <w:iCs/>
          <w:sz w:val="20"/>
          <w:szCs w:val="20"/>
        </w:rPr>
        <w:t xml:space="preserve"> 1</w:t>
      </w:r>
      <w:r>
        <w:rPr>
          <w:i/>
          <w:iCs/>
          <w:sz w:val="20"/>
          <w:szCs w:val="20"/>
        </w:rPr>
        <w:t>°</w:t>
      </w:r>
      <w:r w:rsidR="00F84442" w:rsidRPr="003D0E99">
        <w:rPr>
          <w:i/>
          <w:iCs/>
          <w:sz w:val="20"/>
          <w:szCs w:val="20"/>
        </w:rPr>
        <w:t xml:space="preserve"> y 2</w:t>
      </w:r>
      <w:r>
        <w:rPr>
          <w:i/>
          <w:iCs/>
          <w:sz w:val="20"/>
          <w:szCs w:val="20"/>
        </w:rPr>
        <w:t>°</w:t>
      </w:r>
      <w:r w:rsidR="00F84442" w:rsidRPr="003D0E99">
        <w:rPr>
          <w:i/>
          <w:iCs/>
          <w:sz w:val="20"/>
          <w:szCs w:val="20"/>
        </w:rPr>
        <w:t>, conviene que el Ordinario, según su prudencia, oiga a dos jueces o a otros jurisperitos.</w:t>
      </w:r>
    </w:p>
    <w:p w:rsidR="00F84442" w:rsidRPr="003D0E99" w:rsidRDefault="00F84442" w:rsidP="00F84442">
      <w:pPr>
        <w:ind w:left="720"/>
        <w:jc w:val="both"/>
        <w:rPr>
          <w:i/>
          <w:iCs/>
          <w:sz w:val="20"/>
          <w:szCs w:val="20"/>
        </w:rPr>
      </w:pPr>
    </w:p>
    <w:p w:rsidR="00F84442" w:rsidRPr="003D0E99" w:rsidRDefault="009F5988" w:rsidP="00F84442">
      <w:pPr>
        <w:ind w:left="720"/>
        <w:jc w:val="both"/>
        <w:rPr>
          <w:i/>
          <w:iCs/>
          <w:sz w:val="20"/>
          <w:szCs w:val="20"/>
        </w:rPr>
      </w:pPr>
      <w:r>
        <w:rPr>
          <w:i/>
          <w:iCs/>
          <w:sz w:val="20"/>
          <w:szCs w:val="20"/>
        </w:rPr>
        <w:t xml:space="preserve">4° </w:t>
      </w:r>
      <w:r w:rsidR="00F84442" w:rsidRPr="003D0E99">
        <w:rPr>
          <w:i/>
          <w:iCs/>
          <w:sz w:val="20"/>
          <w:szCs w:val="20"/>
        </w:rPr>
        <w:t>Antes de tomar una de</w:t>
      </w:r>
      <w:r>
        <w:rPr>
          <w:i/>
          <w:iCs/>
          <w:sz w:val="20"/>
          <w:szCs w:val="20"/>
        </w:rPr>
        <w:t>terminación de acuerdo con el 1°</w:t>
      </w:r>
      <w:r w:rsidR="00F84442" w:rsidRPr="003D0E99">
        <w:rPr>
          <w:i/>
          <w:iCs/>
          <w:sz w:val="20"/>
          <w:szCs w:val="20"/>
        </w:rPr>
        <w:t xml:space="preserve">., debe considerar el Ordinario si, para </w:t>
      </w:r>
      <w:r w:rsidRPr="003D0E99">
        <w:rPr>
          <w:i/>
          <w:iCs/>
          <w:sz w:val="20"/>
          <w:szCs w:val="20"/>
        </w:rPr>
        <w:t>evitar juicios</w:t>
      </w:r>
      <w:r w:rsidR="00F84442" w:rsidRPr="003D0E99">
        <w:rPr>
          <w:i/>
          <w:iCs/>
          <w:sz w:val="20"/>
          <w:szCs w:val="20"/>
        </w:rPr>
        <w:t xml:space="preserve"> inútiles, es conveniente que, con el consentimiento de las partes, él mismo o el investigador dirima lo referente a los daños de acuerdo a la equidad.</w:t>
      </w:r>
    </w:p>
    <w:p w:rsidR="00F84442" w:rsidRPr="003D0E99" w:rsidRDefault="00F84442" w:rsidP="00F84442">
      <w:pPr>
        <w:ind w:left="720"/>
        <w:jc w:val="both"/>
        <w:rPr>
          <w:i/>
          <w:iCs/>
          <w:sz w:val="20"/>
          <w:szCs w:val="20"/>
        </w:rPr>
      </w:pPr>
    </w:p>
    <w:p w:rsidR="00F84442" w:rsidRPr="003D0E99" w:rsidRDefault="00F84442" w:rsidP="00F84442">
      <w:pPr>
        <w:ind w:left="720"/>
        <w:jc w:val="both"/>
        <w:rPr>
          <w:i/>
          <w:iCs/>
          <w:sz w:val="20"/>
          <w:szCs w:val="20"/>
        </w:rPr>
      </w:pPr>
      <w:r w:rsidRPr="003D0E99">
        <w:rPr>
          <w:b/>
          <w:i/>
          <w:iCs/>
          <w:sz w:val="20"/>
          <w:szCs w:val="20"/>
        </w:rPr>
        <w:t>1719</w:t>
      </w:r>
      <w:r w:rsidRPr="003D0E99">
        <w:rPr>
          <w:i/>
          <w:iCs/>
          <w:sz w:val="20"/>
          <w:szCs w:val="20"/>
        </w:rPr>
        <w:t xml:space="preserve"> Si no se requieren para el proceso penal, deben guardarse en el archivo secreto de la curia las actas de la investigación y los decretos del Ordinario con los que se inicia o concluye la investigación, así como todo aquello que precede a la investigación.</w:t>
      </w:r>
    </w:p>
    <w:p w:rsidR="00F84442" w:rsidRPr="00E123AF" w:rsidRDefault="00F84442" w:rsidP="00F84442">
      <w:pPr>
        <w:jc w:val="both"/>
        <w:rPr>
          <w:b/>
          <w:iCs/>
          <w:sz w:val="20"/>
          <w:szCs w:val="20"/>
        </w:rPr>
      </w:pPr>
      <w:r>
        <w:rPr>
          <w:iCs/>
          <w:sz w:val="20"/>
          <w:szCs w:val="20"/>
        </w:rPr>
        <w:t xml:space="preserve">                                                                                                                                                   </w:t>
      </w:r>
      <w:r>
        <w:rPr>
          <w:b/>
          <w:iCs/>
          <w:sz w:val="20"/>
          <w:szCs w:val="20"/>
        </w:rPr>
        <w:t xml:space="preserve"> </w:t>
      </w:r>
    </w:p>
    <w:p w:rsidR="00F84442" w:rsidRDefault="007C611E" w:rsidP="00F84442">
      <w:pPr>
        <w:numPr>
          <w:ilvl w:val="0"/>
          <w:numId w:val="1"/>
        </w:numPr>
        <w:jc w:val="both"/>
        <w:rPr>
          <w:iCs/>
          <w:sz w:val="20"/>
          <w:szCs w:val="20"/>
          <w:u w:val="single"/>
        </w:rPr>
      </w:pPr>
      <w:r>
        <w:rPr>
          <w:iCs/>
          <w:sz w:val="20"/>
          <w:szCs w:val="20"/>
          <w:u w:val="single"/>
        </w:rPr>
        <w:t xml:space="preserve">Tramitación </w:t>
      </w:r>
    </w:p>
    <w:p w:rsidR="00F84442" w:rsidRPr="0032012A" w:rsidRDefault="00F84442" w:rsidP="00F84442">
      <w:pPr>
        <w:ind w:left="360"/>
        <w:jc w:val="both"/>
        <w:rPr>
          <w:iCs/>
          <w:sz w:val="20"/>
          <w:szCs w:val="20"/>
          <w:u w:val="single"/>
        </w:rPr>
      </w:pPr>
    </w:p>
    <w:p w:rsidR="00F84442" w:rsidRPr="00811F3C" w:rsidRDefault="00811F3C" w:rsidP="00811F3C">
      <w:pPr>
        <w:pStyle w:val="Prrafodelista"/>
        <w:numPr>
          <w:ilvl w:val="0"/>
          <w:numId w:val="4"/>
        </w:numPr>
        <w:jc w:val="both"/>
        <w:rPr>
          <w:iCs/>
          <w:sz w:val="20"/>
          <w:szCs w:val="20"/>
        </w:rPr>
      </w:pPr>
      <w:r w:rsidRPr="00811F3C">
        <w:rPr>
          <w:iCs/>
          <w:sz w:val="20"/>
          <w:szCs w:val="20"/>
        </w:rPr>
        <w:t>Tomando conocimiento de los hechos que revistan carácter de delito, la obligación de denunciar corresponde al funcionario que tomó conocimiento de la situación, de acuerdo con lo establecido en el Art. 165 del Código Penal.</w:t>
      </w:r>
      <w:r w:rsidR="00F84442" w:rsidRPr="00811F3C">
        <w:rPr>
          <w:iCs/>
          <w:sz w:val="20"/>
          <w:szCs w:val="20"/>
        </w:rPr>
        <w:t xml:space="preserve">,                                                                                                                                                </w:t>
      </w:r>
    </w:p>
    <w:p w:rsidR="00F84442" w:rsidRPr="00811F3C" w:rsidRDefault="00811F3C" w:rsidP="00811F3C">
      <w:pPr>
        <w:pStyle w:val="Prrafodelista"/>
        <w:numPr>
          <w:ilvl w:val="0"/>
          <w:numId w:val="4"/>
        </w:numPr>
        <w:jc w:val="both"/>
        <w:rPr>
          <w:iCs/>
          <w:sz w:val="20"/>
          <w:szCs w:val="20"/>
        </w:rPr>
      </w:pPr>
      <w:r w:rsidRPr="00811F3C">
        <w:rPr>
          <w:iCs/>
          <w:sz w:val="20"/>
          <w:szCs w:val="20"/>
        </w:rPr>
        <w:t>Esta</w:t>
      </w:r>
      <w:r w:rsidR="007C611E" w:rsidRPr="00811F3C">
        <w:rPr>
          <w:iCs/>
          <w:sz w:val="20"/>
          <w:szCs w:val="20"/>
        </w:rPr>
        <w:t xml:space="preserve"> denuncia </w:t>
      </w:r>
      <w:r>
        <w:rPr>
          <w:iCs/>
          <w:sz w:val="20"/>
          <w:szCs w:val="20"/>
        </w:rPr>
        <w:t>la</w:t>
      </w:r>
      <w:r w:rsidRPr="00811F3C">
        <w:rPr>
          <w:iCs/>
          <w:sz w:val="20"/>
          <w:szCs w:val="20"/>
        </w:rPr>
        <w:t xml:space="preserve"> debe realizar </w:t>
      </w:r>
      <w:r w:rsidR="007C611E" w:rsidRPr="00811F3C">
        <w:rPr>
          <w:iCs/>
          <w:sz w:val="20"/>
          <w:szCs w:val="20"/>
        </w:rPr>
        <w:t>en</w:t>
      </w:r>
      <w:r w:rsidRPr="00811F3C">
        <w:rPr>
          <w:iCs/>
          <w:sz w:val="20"/>
          <w:szCs w:val="20"/>
        </w:rPr>
        <w:t xml:space="preserve"> el</w:t>
      </w:r>
      <w:r w:rsidR="007C611E" w:rsidRPr="00811F3C">
        <w:rPr>
          <w:iCs/>
          <w:sz w:val="20"/>
          <w:szCs w:val="20"/>
        </w:rPr>
        <w:t xml:space="preserve"> Ministerio Público o Fiscalía o PDI </w:t>
      </w:r>
      <w:r w:rsidRPr="00811F3C">
        <w:rPr>
          <w:iCs/>
          <w:sz w:val="20"/>
          <w:szCs w:val="20"/>
        </w:rPr>
        <w:t xml:space="preserve">o </w:t>
      </w:r>
      <w:r w:rsidR="007C611E" w:rsidRPr="00811F3C">
        <w:rPr>
          <w:iCs/>
          <w:sz w:val="20"/>
          <w:szCs w:val="20"/>
        </w:rPr>
        <w:t>Carabineros de Chile o ante cualquier Tribunal de competencia legal</w:t>
      </w:r>
      <w:r w:rsidRPr="00811F3C">
        <w:rPr>
          <w:iCs/>
          <w:sz w:val="20"/>
          <w:szCs w:val="20"/>
        </w:rPr>
        <w:t>,</w:t>
      </w:r>
      <w:r w:rsidR="007C611E" w:rsidRPr="00811F3C">
        <w:rPr>
          <w:iCs/>
          <w:sz w:val="20"/>
          <w:szCs w:val="20"/>
        </w:rPr>
        <w:t xml:space="preserve"> en un plazo no mayor a 24 horas.</w:t>
      </w:r>
    </w:p>
    <w:p w:rsidR="007D5314" w:rsidRDefault="00811F3C" w:rsidP="00811F3C">
      <w:pPr>
        <w:numPr>
          <w:ilvl w:val="0"/>
          <w:numId w:val="4"/>
        </w:numPr>
        <w:jc w:val="both"/>
        <w:rPr>
          <w:iCs/>
          <w:sz w:val="20"/>
          <w:szCs w:val="20"/>
        </w:rPr>
      </w:pPr>
      <w:r>
        <w:rPr>
          <w:iCs/>
          <w:sz w:val="20"/>
          <w:szCs w:val="20"/>
        </w:rPr>
        <w:t xml:space="preserve">La Dirección del colegio designará a </w:t>
      </w:r>
      <w:r w:rsidR="007D5314">
        <w:rPr>
          <w:iCs/>
          <w:sz w:val="20"/>
          <w:szCs w:val="20"/>
        </w:rPr>
        <w:t>una persona, quien será la encargada de llevar a cabo este proceso.</w:t>
      </w:r>
    </w:p>
    <w:p w:rsidR="00F84442" w:rsidRDefault="007D5314" w:rsidP="00811F3C">
      <w:pPr>
        <w:numPr>
          <w:ilvl w:val="0"/>
          <w:numId w:val="4"/>
        </w:numPr>
        <w:jc w:val="both"/>
        <w:rPr>
          <w:iCs/>
          <w:sz w:val="20"/>
          <w:szCs w:val="20"/>
        </w:rPr>
      </w:pPr>
      <w:r>
        <w:rPr>
          <w:iCs/>
          <w:sz w:val="20"/>
          <w:szCs w:val="20"/>
        </w:rPr>
        <w:t xml:space="preserve">Se debe dar </w:t>
      </w:r>
      <w:r w:rsidR="00F84442">
        <w:rPr>
          <w:iCs/>
          <w:sz w:val="20"/>
          <w:szCs w:val="20"/>
        </w:rPr>
        <w:t xml:space="preserve">a conocer al </w:t>
      </w:r>
      <w:r w:rsidR="00B3471F">
        <w:rPr>
          <w:iCs/>
          <w:sz w:val="20"/>
          <w:szCs w:val="20"/>
        </w:rPr>
        <w:t>denunciado</w:t>
      </w:r>
      <w:r>
        <w:rPr>
          <w:iCs/>
          <w:sz w:val="20"/>
          <w:szCs w:val="20"/>
        </w:rPr>
        <w:t xml:space="preserve"> la naturaleza de la denuncia.</w:t>
      </w:r>
    </w:p>
    <w:p w:rsidR="00F84442" w:rsidRPr="00021238" w:rsidRDefault="00F84442" w:rsidP="00811F3C">
      <w:pPr>
        <w:numPr>
          <w:ilvl w:val="0"/>
          <w:numId w:val="4"/>
        </w:numPr>
        <w:jc w:val="both"/>
        <w:rPr>
          <w:iCs/>
          <w:sz w:val="20"/>
          <w:szCs w:val="20"/>
        </w:rPr>
      </w:pPr>
      <w:r>
        <w:rPr>
          <w:iCs/>
          <w:sz w:val="20"/>
          <w:szCs w:val="20"/>
        </w:rPr>
        <w:t xml:space="preserve">El </w:t>
      </w:r>
      <w:r w:rsidR="00B3471F">
        <w:rPr>
          <w:iCs/>
          <w:sz w:val="20"/>
          <w:szCs w:val="20"/>
        </w:rPr>
        <w:t>denunciado</w:t>
      </w:r>
      <w:r>
        <w:rPr>
          <w:iCs/>
          <w:sz w:val="20"/>
          <w:szCs w:val="20"/>
        </w:rPr>
        <w:t xml:space="preserve"> tiene el plazo de 24 horas para hacer llegar sus argumentos.</w:t>
      </w:r>
    </w:p>
    <w:p w:rsidR="00F84442" w:rsidRDefault="00F84442" w:rsidP="00811F3C">
      <w:pPr>
        <w:numPr>
          <w:ilvl w:val="0"/>
          <w:numId w:val="4"/>
        </w:numPr>
        <w:jc w:val="both"/>
        <w:rPr>
          <w:iCs/>
          <w:sz w:val="20"/>
          <w:szCs w:val="20"/>
        </w:rPr>
      </w:pPr>
      <w:r>
        <w:rPr>
          <w:iCs/>
          <w:sz w:val="20"/>
          <w:szCs w:val="20"/>
        </w:rPr>
        <w:lastRenderedPageBreak/>
        <w:t>En caso de que los hechos sean considerados constitutivos de un ilícito, es conveniente que el menor afectado sea asistido por un psicólogo, que pueda emitir un informe escrito sobre el estado y situación del menor.</w:t>
      </w:r>
    </w:p>
    <w:p w:rsidR="00F84442" w:rsidRDefault="00F84442" w:rsidP="00F84442">
      <w:pPr>
        <w:jc w:val="both"/>
        <w:rPr>
          <w:iCs/>
          <w:sz w:val="20"/>
          <w:szCs w:val="20"/>
        </w:rPr>
      </w:pPr>
      <w:r>
        <w:rPr>
          <w:iCs/>
          <w:sz w:val="20"/>
          <w:szCs w:val="20"/>
        </w:rPr>
        <w:t xml:space="preserve">                                                                                                                                                                                 </w:t>
      </w:r>
    </w:p>
    <w:p w:rsidR="00F84442" w:rsidRDefault="00F84442" w:rsidP="00F84442">
      <w:pPr>
        <w:numPr>
          <w:ilvl w:val="0"/>
          <w:numId w:val="1"/>
        </w:numPr>
        <w:jc w:val="both"/>
        <w:rPr>
          <w:iCs/>
          <w:sz w:val="20"/>
          <w:szCs w:val="20"/>
          <w:u w:val="single"/>
        </w:rPr>
      </w:pPr>
      <w:r w:rsidRPr="003648E9">
        <w:rPr>
          <w:iCs/>
          <w:sz w:val="20"/>
          <w:szCs w:val="20"/>
          <w:u w:val="single"/>
        </w:rPr>
        <w:t>Situación laboral del denunciado</w:t>
      </w:r>
    </w:p>
    <w:p w:rsidR="00F84442" w:rsidRPr="003648E9" w:rsidRDefault="00F84442" w:rsidP="00F84442">
      <w:pPr>
        <w:ind w:left="360"/>
        <w:jc w:val="both"/>
        <w:rPr>
          <w:iCs/>
          <w:sz w:val="20"/>
          <w:szCs w:val="20"/>
          <w:u w:val="single"/>
        </w:rPr>
      </w:pPr>
    </w:p>
    <w:p w:rsidR="00F84442" w:rsidRDefault="00F84442" w:rsidP="00AF3B71">
      <w:pPr>
        <w:ind w:left="720"/>
        <w:jc w:val="both"/>
        <w:rPr>
          <w:iCs/>
          <w:sz w:val="20"/>
          <w:szCs w:val="20"/>
        </w:rPr>
      </w:pPr>
      <w:r>
        <w:rPr>
          <w:iCs/>
          <w:sz w:val="20"/>
          <w:szCs w:val="20"/>
        </w:rPr>
        <w:t xml:space="preserve">En vista de la presunción de inocencia de la cual goza todo ciudadano como parte de sus derechos humanos, la solo denuncia no es argumento </w:t>
      </w:r>
      <w:r w:rsidR="00894670">
        <w:rPr>
          <w:iCs/>
          <w:sz w:val="20"/>
          <w:szCs w:val="20"/>
        </w:rPr>
        <w:t>suficiente para</w:t>
      </w:r>
      <w:r>
        <w:rPr>
          <w:iCs/>
          <w:sz w:val="20"/>
          <w:szCs w:val="20"/>
        </w:rPr>
        <w:t xml:space="preserve"> terminar la relación laboral. No </w:t>
      </w:r>
      <w:r w:rsidR="00894670">
        <w:rPr>
          <w:iCs/>
          <w:sz w:val="20"/>
          <w:szCs w:val="20"/>
        </w:rPr>
        <w:t>obstante,</w:t>
      </w:r>
      <w:r>
        <w:rPr>
          <w:iCs/>
          <w:sz w:val="20"/>
          <w:szCs w:val="20"/>
        </w:rPr>
        <w:t xml:space="preserve"> lo anterior, y debido a las probables diligencias que realice el Ministerio Público o uno de sus agentes investigadores, el </w:t>
      </w:r>
      <w:r w:rsidR="00B3471F">
        <w:rPr>
          <w:iCs/>
          <w:sz w:val="20"/>
          <w:szCs w:val="20"/>
        </w:rPr>
        <w:t>denunciado</w:t>
      </w:r>
      <w:r>
        <w:rPr>
          <w:iCs/>
          <w:sz w:val="20"/>
          <w:szCs w:val="20"/>
        </w:rPr>
        <w:t xml:space="preserve"> </w:t>
      </w:r>
      <w:r w:rsidR="003A35F1">
        <w:rPr>
          <w:iCs/>
          <w:sz w:val="20"/>
          <w:szCs w:val="20"/>
        </w:rPr>
        <w:t>debiera entender</w:t>
      </w:r>
      <w:r>
        <w:rPr>
          <w:iCs/>
          <w:sz w:val="20"/>
          <w:szCs w:val="20"/>
        </w:rPr>
        <w:t xml:space="preserve"> </w:t>
      </w:r>
      <w:r w:rsidR="00B3471F">
        <w:rPr>
          <w:iCs/>
          <w:sz w:val="20"/>
          <w:szCs w:val="20"/>
        </w:rPr>
        <w:t>que es</w:t>
      </w:r>
      <w:r>
        <w:rPr>
          <w:iCs/>
          <w:sz w:val="20"/>
          <w:szCs w:val="20"/>
        </w:rPr>
        <w:t xml:space="preserve"> preferible, </w:t>
      </w:r>
      <w:r w:rsidR="00B3471F">
        <w:rPr>
          <w:iCs/>
          <w:sz w:val="20"/>
          <w:szCs w:val="20"/>
        </w:rPr>
        <w:t>mientras dure</w:t>
      </w:r>
      <w:r>
        <w:rPr>
          <w:iCs/>
          <w:sz w:val="20"/>
          <w:szCs w:val="20"/>
        </w:rPr>
        <w:t xml:space="preserve"> el proceso, al menos </w:t>
      </w:r>
      <w:r w:rsidR="00B3471F">
        <w:rPr>
          <w:iCs/>
          <w:sz w:val="20"/>
          <w:szCs w:val="20"/>
        </w:rPr>
        <w:t xml:space="preserve">ausentarse para preparar su </w:t>
      </w:r>
      <w:r>
        <w:rPr>
          <w:iCs/>
          <w:sz w:val="20"/>
          <w:szCs w:val="20"/>
        </w:rPr>
        <w:t>defensa, así como para evitar la estigmatización social. Por lo mismo se puede acordar contractualmente, de manera temporal, un permiso con o sin goce de remuneraciones, o un cambio temporal de actividad, que permita evitar el contacto entre la víctima y el hechor.</w:t>
      </w:r>
    </w:p>
    <w:p w:rsidR="00F84442" w:rsidRDefault="00F84442" w:rsidP="00F84442">
      <w:pPr>
        <w:ind w:left="720"/>
        <w:jc w:val="both"/>
        <w:rPr>
          <w:iCs/>
          <w:sz w:val="20"/>
          <w:szCs w:val="20"/>
        </w:rPr>
      </w:pPr>
    </w:p>
    <w:p w:rsidR="00F84442" w:rsidRDefault="00F84442" w:rsidP="00F84442">
      <w:pPr>
        <w:ind w:left="720"/>
        <w:jc w:val="both"/>
        <w:rPr>
          <w:iCs/>
          <w:sz w:val="20"/>
          <w:szCs w:val="20"/>
        </w:rPr>
      </w:pPr>
      <w:r>
        <w:rPr>
          <w:iCs/>
          <w:sz w:val="20"/>
          <w:szCs w:val="20"/>
        </w:rPr>
        <w:t>El establecimiento educacional deberá evaluar, si no es posible solucionar la estadía del supuesto hechor dentro del colegio según el párrafo anterior, la posibilidad económica de terminar el contrato, siempre que las causales de terminación o caducidad contractual existan.</w:t>
      </w:r>
    </w:p>
    <w:p w:rsidR="00F84442" w:rsidRDefault="00F84442" w:rsidP="00F84442">
      <w:pPr>
        <w:jc w:val="both"/>
        <w:rPr>
          <w:iCs/>
          <w:sz w:val="20"/>
          <w:szCs w:val="20"/>
        </w:rPr>
      </w:pPr>
    </w:p>
    <w:p w:rsidR="007C611E" w:rsidRDefault="007C611E" w:rsidP="00F84442">
      <w:pPr>
        <w:numPr>
          <w:ilvl w:val="0"/>
          <w:numId w:val="1"/>
        </w:numPr>
        <w:jc w:val="both"/>
        <w:rPr>
          <w:iCs/>
          <w:sz w:val="20"/>
          <w:szCs w:val="20"/>
          <w:u w:val="single"/>
        </w:rPr>
      </w:pPr>
      <w:r>
        <w:rPr>
          <w:iCs/>
          <w:sz w:val="20"/>
          <w:szCs w:val="20"/>
          <w:u w:val="single"/>
        </w:rPr>
        <w:t>Procedimiento hacia padres, madres y apoderados</w:t>
      </w:r>
    </w:p>
    <w:p w:rsidR="007C611E" w:rsidRDefault="007C611E" w:rsidP="007C611E">
      <w:pPr>
        <w:ind w:left="720"/>
        <w:jc w:val="both"/>
        <w:rPr>
          <w:iCs/>
          <w:sz w:val="20"/>
          <w:szCs w:val="20"/>
        </w:rPr>
      </w:pPr>
    </w:p>
    <w:p w:rsidR="007C611E" w:rsidRDefault="007C611E" w:rsidP="007C611E">
      <w:pPr>
        <w:ind w:left="720"/>
        <w:jc w:val="both"/>
        <w:rPr>
          <w:iCs/>
          <w:sz w:val="20"/>
          <w:szCs w:val="20"/>
        </w:rPr>
      </w:pPr>
      <w:r>
        <w:rPr>
          <w:iCs/>
          <w:sz w:val="20"/>
          <w:szCs w:val="20"/>
        </w:rPr>
        <w:t>Ante la denuncia, se informará en forma inmediata vía correo electrónico</w:t>
      </w:r>
      <w:r w:rsidR="0053004F">
        <w:rPr>
          <w:iCs/>
          <w:sz w:val="20"/>
          <w:szCs w:val="20"/>
        </w:rPr>
        <w:t xml:space="preserve"> consignado en la ficha de matrícula de estudiante</w:t>
      </w:r>
      <w:bookmarkStart w:id="0" w:name="_GoBack"/>
      <w:bookmarkEnd w:id="0"/>
      <w:r>
        <w:rPr>
          <w:iCs/>
          <w:sz w:val="20"/>
          <w:szCs w:val="20"/>
        </w:rPr>
        <w:t xml:space="preserve"> a fin de que se acerquen al establecimiento y tomen conocimiento personalmente de la situación y la razón de la denuncia. </w:t>
      </w:r>
    </w:p>
    <w:p w:rsidR="007C611E" w:rsidRPr="007C611E" w:rsidRDefault="007C611E" w:rsidP="007C611E">
      <w:pPr>
        <w:ind w:left="720"/>
        <w:jc w:val="both"/>
        <w:rPr>
          <w:iCs/>
          <w:sz w:val="20"/>
          <w:szCs w:val="20"/>
        </w:rPr>
      </w:pPr>
    </w:p>
    <w:p w:rsidR="00F84442" w:rsidRDefault="00F84442" w:rsidP="00F84442">
      <w:pPr>
        <w:numPr>
          <w:ilvl w:val="0"/>
          <w:numId w:val="1"/>
        </w:numPr>
        <w:jc w:val="both"/>
        <w:rPr>
          <w:iCs/>
          <w:sz w:val="20"/>
          <w:szCs w:val="20"/>
          <w:u w:val="single"/>
        </w:rPr>
      </w:pPr>
      <w:r w:rsidRPr="00F65A8A">
        <w:rPr>
          <w:iCs/>
          <w:sz w:val="20"/>
          <w:szCs w:val="20"/>
          <w:u w:val="single"/>
        </w:rPr>
        <w:t>Manejo y tráfico de la Información</w:t>
      </w:r>
    </w:p>
    <w:p w:rsidR="00F84442" w:rsidRPr="00F65A8A" w:rsidRDefault="00F84442" w:rsidP="00F84442">
      <w:pPr>
        <w:ind w:left="360"/>
        <w:jc w:val="both"/>
        <w:rPr>
          <w:iCs/>
          <w:sz w:val="20"/>
          <w:szCs w:val="20"/>
          <w:u w:val="single"/>
        </w:rPr>
      </w:pPr>
    </w:p>
    <w:p w:rsidR="00F84442" w:rsidRDefault="00F84442" w:rsidP="00F84442">
      <w:pPr>
        <w:ind w:left="720"/>
        <w:jc w:val="both"/>
        <w:rPr>
          <w:iCs/>
          <w:sz w:val="20"/>
          <w:szCs w:val="20"/>
        </w:rPr>
      </w:pPr>
      <w:r>
        <w:rPr>
          <w:iCs/>
          <w:sz w:val="20"/>
          <w:szCs w:val="20"/>
        </w:rPr>
        <w:t>En todo momento el establecimiento educacional se abstendrá de comentar las actuaciones judiciales o de fiscalía, y sólo la persona encargada por la Dirección del colegio, deberá informar a la comunidad educativa a través del Consejo Escolar, según lo crea conveniente y oportuno, las circunstancias y demás detalles del caso. Lo anterior, siempre que los antecedentes no hayan sido declarados como reservados por las autoridades competentes.</w:t>
      </w:r>
    </w:p>
    <w:p w:rsidR="007C611E" w:rsidRDefault="007C611E" w:rsidP="00F84442">
      <w:pPr>
        <w:ind w:left="720"/>
        <w:jc w:val="both"/>
        <w:rPr>
          <w:iCs/>
          <w:sz w:val="20"/>
          <w:szCs w:val="20"/>
        </w:rPr>
      </w:pPr>
    </w:p>
    <w:p w:rsidR="007C611E" w:rsidRDefault="007C611E" w:rsidP="00F84442">
      <w:pPr>
        <w:ind w:left="720"/>
        <w:jc w:val="both"/>
        <w:rPr>
          <w:iCs/>
          <w:sz w:val="20"/>
          <w:szCs w:val="20"/>
        </w:rPr>
      </w:pPr>
      <w:r>
        <w:rPr>
          <w:iCs/>
          <w:sz w:val="20"/>
          <w:szCs w:val="20"/>
        </w:rPr>
        <w:t>Además, se mantendrá la reserva de la identidad del estudiante, quién a su vez recibirá un acompañamiento de contención emocional por parte del encargado de la Pastoral del establecimiento, quien se reunirá con los apoderados durante to</w:t>
      </w:r>
      <w:r w:rsidR="00A33261">
        <w:rPr>
          <w:iCs/>
          <w:sz w:val="20"/>
          <w:szCs w:val="20"/>
        </w:rPr>
        <w:t>do este proceso para apoyarlos en el acompañamiento hacia su hijo(a).</w:t>
      </w:r>
    </w:p>
    <w:p w:rsidR="00F84442" w:rsidRDefault="00F84442" w:rsidP="00F84442">
      <w:pPr>
        <w:ind w:left="720"/>
        <w:jc w:val="both"/>
        <w:rPr>
          <w:iCs/>
          <w:sz w:val="20"/>
          <w:szCs w:val="20"/>
        </w:rPr>
      </w:pPr>
    </w:p>
    <w:p w:rsidR="00F84442" w:rsidRDefault="00F84442" w:rsidP="00F84442">
      <w:pPr>
        <w:ind w:left="720"/>
        <w:jc w:val="both"/>
        <w:rPr>
          <w:iCs/>
          <w:sz w:val="20"/>
          <w:szCs w:val="20"/>
        </w:rPr>
      </w:pPr>
      <w:r>
        <w:rPr>
          <w:iCs/>
          <w:sz w:val="20"/>
          <w:szCs w:val="20"/>
        </w:rPr>
        <w:t xml:space="preserve">Una vez terminado el proceso, la misma persona </w:t>
      </w:r>
      <w:r w:rsidR="00A33261">
        <w:rPr>
          <w:iCs/>
          <w:sz w:val="20"/>
          <w:szCs w:val="20"/>
        </w:rPr>
        <w:t>encargada por la Dirección del establecimiento</w:t>
      </w:r>
      <w:r>
        <w:rPr>
          <w:iCs/>
          <w:sz w:val="20"/>
          <w:szCs w:val="20"/>
        </w:rPr>
        <w:t>, deberá comunicar a la unidad educativa, el resultado final de la investigación judicial.</w:t>
      </w:r>
    </w:p>
    <w:p w:rsidR="00F84442" w:rsidRDefault="00F84442" w:rsidP="00F84442">
      <w:pPr>
        <w:ind w:left="720"/>
        <w:jc w:val="both"/>
        <w:rPr>
          <w:iCs/>
          <w:sz w:val="20"/>
          <w:szCs w:val="20"/>
        </w:rPr>
      </w:pPr>
    </w:p>
    <w:p w:rsidR="00F84442" w:rsidRDefault="00F84442" w:rsidP="00F84442">
      <w:pPr>
        <w:ind w:left="720"/>
        <w:jc w:val="both"/>
        <w:rPr>
          <w:iCs/>
          <w:sz w:val="20"/>
          <w:szCs w:val="20"/>
        </w:rPr>
      </w:pPr>
      <w:r>
        <w:rPr>
          <w:iCs/>
          <w:sz w:val="20"/>
          <w:szCs w:val="20"/>
        </w:rPr>
        <w:t>En el evento que la investigación determine la culpabilidad del(la) denunciado(a), se dará por terminado su contrato de trabajo al momento de su sentencia, sin derecho a indemnización alguna por parte del establecimiento.</w:t>
      </w:r>
    </w:p>
    <w:p w:rsidR="00A827A3" w:rsidRDefault="00A827A3" w:rsidP="00A827A3">
      <w:pPr>
        <w:jc w:val="both"/>
        <w:rPr>
          <w:iCs/>
          <w:sz w:val="20"/>
          <w:szCs w:val="20"/>
        </w:rPr>
      </w:pPr>
    </w:p>
    <w:p w:rsidR="00A827A3" w:rsidRPr="004F12F1" w:rsidRDefault="00A827A3" w:rsidP="00A827A3">
      <w:pPr>
        <w:pStyle w:val="Prrafodelista"/>
        <w:numPr>
          <w:ilvl w:val="0"/>
          <w:numId w:val="1"/>
        </w:numPr>
        <w:jc w:val="both"/>
        <w:rPr>
          <w:iCs/>
          <w:sz w:val="20"/>
          <w:szCs w:val="20"/>
          <w:u w:val="single"/>
        </w:rPr>
      </w:pPr>
      <w:r w:rsidRPr="004F12F1">
        <w:rPr>
          <w:iCs/>
          <w:sz w:val="20"/>
          <w:szCs w:val="20"/>
          <w:u w:val="single"/>
        </w:rPr>
        <w:t>Medidas de apoyo</w:t>
      </w:r>
    </w:p>
    <w:p w:rsidR="00A827A3" w:rsidRPr="004F12F1" w:rsidRDefault="00A827A3" w:rsidP="00A827A3">
      <w:pPr>
        <w:pStyle w:val="Prrafodelista"/>
        <w:jc w:val="both"/>
        <w:rPr>
          <w:iCs/>
          <w:sz w:val="20"/>
          <w:szCs w:val="20"/>
        </w:rPr>
      </w:pPr>
    </w:p>
    <w:p w:rsidR="00A827A3" w:rsidRPr="004F12F1" w:rsidRDefault="00A827A3" w:rsidP="00A827A3">
      <w:pPr>
        <w:pStyle w:val="Prrafodelista"/>
        <w:jc w:val="both"/>
        <w:rPr>
          <w:iCs/>
          <w:sz w:val="20"/>
          <w:szCs w:val="20"/>
        </w:rPr>
      </w:pPr>
      <w:r w:rsidRPr="004F12F1">
        <w:rPr>
          <w:iCs/>
          <w:sz w:val="20"/>
          <w:szCs w:val="20"/>
        </w:rPr>
        <w:t>Los Encargados de Convivencia Escolar y Orientación del establecimiento realizarán un acompañamiento a aquellas personas (estudiantes – funcionarios) que hayan sufrido agresiones sexuales o hechos de connotación sexual y que afecten su integridad, a través de un Plan de Trabajo previamente consensuado con el apoderado y/o funcionario afectado, con tal de brindarles un apoyo emocional y al mismo tiempo activar las redes de apoyo externas que permitan tomar acciones reparatorias a nivel familiar y personal.</w:t>
      </w:r>
    </w:p>
    <w:p w:rsidR="00A827A3" w:rsidRPr="00A827A3" w:rsidRDefault="00A827A3" w:rsidP="00A827A3">
      <w:pPr>
        <w:pStyle w:val="Prrafodelista"/>
        <w:jc w:val="both"/>
        <w:rPr>
          <w:iCs/>
          <w:sz w:val="20"/>
          <w:szCs w:val="20"/>
        </w:rPr>
      </w:pPr>
      <w:r w:rsidRPr="004F12F1">
        <w:rPr>
          <w:iCs/>
          <w:sz w:val="20"/>
          <w:szCs w:val="20"/>
        </w:rPr>
        <w:t>Este proceso será calendarizado a través de reuniones y/o entrevistas que permitan realizar un seguimiento apropiado ante las circunstancias ocurridas.</w:t>
      </w:r>
    </w:p>
    <w:p w:rsidR="00894670" w:rsidRDefault="00894670" w:rsidP="00894670">
      <w:pPr>
        <w:jc w:val="both"/>
        <w:rPr>
          <w:iCs/>
          <w:sz w:val="20"/>
          <w:szCs w:val="20"/>
        </w:rPr>
      </w:pPr>
    </w:p>
    <w:p w:rsidR="001F437B" w:rsidRPr="001F437B" w:rsidRDefault="001F437B" w:rsidP="001F437B">
      <w:pPr>
        <w:pStyle w:val="Prrafodelista"/>
        <w:numPr>
          <w:ilvl w:val="0"/>
          <w:numId w:val="1"/>
        </w:numPr>
        <w:jc w:val="both"/>
        <w:rPr>
          <w:iCs/>
          <w:sz w:val="20"/>
          <w:szCs w:val="20"/>
          <w:u w:val="single"/>
        </w:rPr>
      </w:pPr>
      <w:r w:rsidRPr="001F437B">
        <w:rPr>
          <w:iCs/>
          <w:sz w:val="20"/>
          <w:szCs w:val="20"/>
          <w:u w:val="single"/>
        </w:rPr>
        <w:t>Medidas Pedagógicas</w:t>
      </w:r>
    </w:p>
    <w:p w:rsidR="001F437B" w:rsidRDefault="001F437B" w:rsidP="001F437B">
      <w:pPr>
        <w:pStyle w:val="Prrafodelista"/>
        <w:jc w:val="both"/>
        <w:rPr>
          <w:iCs/>
          <w:sz w:val="20"/>
          <w:szCs w:val="20"/>
        </w:rPr>
      </w:pPr>
    </w:p>
    <w:p w:rsidR="001F437B" w:rsidRPr="001F437B" w:rsidRDefault="001F437B" w:rsidP="001F437B">
      <w:pPr>
        <w:pStyle w:val="Prrafodelista"/>
        <w:jc w:val="both"/>
        <w:rPr>
          <w:iCs/>
          <w:sz w:val="20"/>
          <w:szCs w:val="20"/>
        </w:rPr>
      </w:pPr>
      <w:r>
        <w:rPr>
          <w:iCs/>
          <w:sz w:val="20"/>
          <w:szCs w:val="20"/>
        </w:rPr>
        <w:t xml:space="preserve">El(la) encargado(a) de Coordinación Técnica Pedagógica se reunirá con los profesores del curso del estudiante en cuestión y realizará un programa de apoyo tutorial a través de módulos de trabajo. Para estos efectos se citará al apoderado a través del correo electrónico </w:t>
      </w:r>
      <w:r w:rsidR="00C77403">
        <w:rPr>
          <w:iCs/>
          <w:sz w:val="20"/>
          <w:szCs w:val="20"/>
        </w:rPr>
        <w:t>registrado en</w:t>
      </w:r>
      <w:r>
        <w:rPr>
          <w:iCs/>
          <w:sz w:val="20"/>
          <w:szCs w:val="20"/>
        </w:rPr>
        <w:t xml:space="preserve"> la Ficha de Matrícula, a fin de que tome conocimiento de este Plan de Apoyo Curricular y pueda contribuir en forma activa al desarrollo de éste.</w:t>
      </w:r>
    </w:p>
    <w:p w:rsidR="00894670" w:rsidRDefault="00894670" w:rsidP="00894670">
      <w:pPr>
        <w:jc w:val="both"/>
        <w:rPr>
          <w:iCs/>
          <w:sz w:val="20"/>
          <w:szCs w:val="20"/>
        </w:rPr>
      </w:pPr>
    </w:p>
    <w:p w:rsidR="00894670" w:rsidRDefault="00894670" w:rsidP="00894670">
      <w:pPr>
        <w:jc w:val="both"/>
        <w:rPr>
          <w:iCs/>
          <w:sz w:val="20"/>
          <w:szCs w:val="20"/>
        </w:rPr>
      </w:pPr>
    </w:p>
    <w:p w:rsidR="003A35F1" w:rsidRDefault="0032166C" w:rsidP="00894670">
      <w:pPr>
        <w:jc w:val="both"/>
        <w:rPr>
          <w:iCs/>
          <w:sz w:val="20"/>
          <w:szCs w:val="20"/>
        </w:rPr>
      </w:pPr>
      <w:r>
        <w:rPr>
          <w:iCs/>
          <w:sz w:val="20"/>
          <w:szCs w:val="20"/>
        </w:rPr>
        <w:t xml:space="preserve">Arica, </w:t>
      </w:r>
      <w:r w:rsidR="008E20EB">
        <w:rPr>
          <w:iCs/>
          <w:sz w:val="20"/>
          <w:szCs w:val="20"/>
        </w:rPr>
        <w:t>Octubre 2022</w:t>
      </w:r>
    </w:p>
    <w:sectPr w:rsidR="003A35F1" w:rsidSect="008E20EB">
      <w:pgSz w:w="12240" w:h="15840" w:code="1"/>
      <w:pgMar w:top="1134" w:right="118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34A1"/>
    <w:multiLevelType w:val="hybridMultilevel"/>
    <w:tmpl w:val="16E82F50"/>
    <w:lvl w:ilvl="0" w:tplc="340A0017">
      <w:start w:val="1"/>
      <w:numFmt w:val="lowerLetter"/>
      <w:lvlText w:val="%1)"/>
      <w:lvlJc w:val="left"/>
      <w:pPr>
        <w:tabs>
          <w:tab w:val="num" w:pos="720"/>
        </w:tabs>
        <w:ind w:left="720" w:hanging="360"/>
      </w:pPr>
      <w:rPr>
        <w:rFonts w:hint="default"/>
      </w:rPr>
    </w:lvl>
    <w:lvl w:ilvl="1" w:tplc="6C3CBF2A">
      <w:start w:val="5"/>
      <w:numFmt w:val="bullet"/>
      <w:lvlText w:val="-"/>
      <w:lvlJc w:val="left"/>
      <w:pPr>
        <w:tabs>
          <w:tab w:val="num" w:pos="1440"/>
        </w:tabs>
        <w:ind w:left="1440" w:hanging="360"/>
      </w:pPr>
      <w:rPr>
        <w:rFonts w:ascii="Times New Roman" w:eastAsia="Times New Roman" w:hAnsi="Times New Roman" w:cs="Times New Roman"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 w15:restartNumberingAfterBreak="0">
    <w:nsid w:val="30CD5283"/>
    <w:multiLevelType w:val="hybridMultilevel"/>
    <w:tmpl w:val="1A8A695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 w15:restartNumberingAfterBreak="0">
    <w:nsid w:val="68FC65AC"/>
    <w:multiLevelType w:val="hybridMultilevel"/>
    <w:tmpl w:val="C5A00E64"/>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 w15:restartNumberingAfterBreak="0">
    <w:nsid w:val="78E256BF"/>
    <w:multiLevelType w:val="hybridMultilevel"/>
    <w:tmpl w:val="70E6C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42"/>
    <w:rsid w:val="000C3B46"/>
    <w:rsid w:val="001F437B"/>
    <w:rsid w:val="003102EA"/>
    <w:rsid w:val="0032166C"/>
    <w:rsid w:val="003A35F1"/>
    <w:rsid w:val="004F12F1"/>
    <w:rsid w:val="0053004F"/>
    <w:rsid w:val="005D1708"/>
    <w:rsid w:val="00603C7C"/>
    <w:rsid w:val="006B21CD"/>
    <w:rsid w:val="007C611E"/>
    <w:rsid w:val="007D5314"/>
    <w:rsid w:val="00811F3C"/>
    <w:rsid w:val="00894670"/>
    <w:rsid w:val="008E20EB"/>
    <w:rsid w:val="008F4B17"/>
    <w:rsid w:val="00966AFC"/>
    <w:rsid w:val="009F5988"/>
    <w:rsid w:val="00A33261"/>
    <w:rsid w:val="00A827A3"/>
    <w:rsid w:val="00AF3B71"/>
    <w:rsid w:val="00B3471F"/>
    <w:rsid w:val="00B72FBD"/>
    <w:rsid w:val="00BA434B"/>
    <w:rsid w:val="00C77403"/>
    <w:rsid w:val="00F8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03C53B"/>
  <w15:chartTrackingRefBased/>
  <w15:docId w15:val="{9F88A823-26E9-4E91-957F-5B651965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42"/>
    <w:pPr>
      <w:jc w:val="left"/>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8F4B17"/>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4B17"/>
    <w:rPr>
      <w:rFonts w:ascii="Arial" w:eastAsia="Times New Roman" w:hAnsi="Arial" w:cs="Arial"/>
      <w:b/>
      <w:bCs/>
      <w:kern w:val="32"/>
      <w:sz w:val="32"/>
      <w:szCs w:val="32"/>
      <w:lang w:val="es-CL" w:eastAsia="es-ES"/>
    </w:rPr>
  </w:style>
  <w:style w:type="paragraph" w:styleId="Textodeglobo">
    <w:name w:val="Balloon Text"/>
    <w:basedOn w:val="Normal"/>
    <w:link w:val="TextodegloboCar"/>
    <w:uiPriority w:val="99"/>
    <w:semiHidden/>
    <w:unhideWhenUsed/>
    <w:rsid w:val="005D17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708"/>
    <w:rPr>
      <w:rFonts w:ascii="Segoe UI" w:eastAsia="Times New Roman" w:hAnsi="Segoe UI" w:cs="Segoe UI"/>
      <w:sz w:val="18"/>
      <w:szCs w:val="18"/>
      <w:lang w:val="es-CL" w:eastAsia="es-ES"/>
    </w:rPr>
  </w:style>
  <w:style w:type="paragraph" w:styleId="Prrafodelista">
    <w:name w:val="List Paragraph"/>
    <w:basedOn w:val="Normal"/>
    <w:uiPriority w:val="34"/>
    <w:qFormat/>
    <w:rsid w:val="00A82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1135</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10</cp:revision>
  <cp:lastPrinted>2021-09-20T14:14:00Z</cp:lastPrinted>
  <dcterms:created xsi:type="dcterms:W3CDTF">2021-09-22T19:26:00Z</dcterms:created>
  <dcterms:modified xsi:type="dcterms:W3CDTF">2022-10-25T20:53:00Z</dcterms:modified>
</cp:coreProperties>
</file>